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71BF" w14:textId="05254E85" w:rsidR="00640F8C" w:rsidRPr="005F20DC" w:rsidRDefault="1FCF161A" w:rsidP="1FCF161A">
      <w:pPr>
        <w:pBdr>
          <w:bottom w:val="single" w:sz="12" w:space="1" w:color="auto"/>
        </w:pBdr>
        <w:spacing w:after="0"/>
        <w:jc w:val="both"/>
        <w:rPr>
          <w:rFonts w:cs="Arial"/>
          <w:b/>
          <w:bCs/>
          <w:sz w:val="28"/>
          <w:szCs w:val="28"/>
        </w:rPr>
      </w:pPr>
      <w:r w:rsidRPr="005F20DC">
        <w:rPr>
          <w:rFonts w:cs="Arial"/>
          <w:b/>
          <w:bCs/>
          <w:sz w:val="28"/>
          <w:szCs w:val="28"/>
        </w:rPr>
        <w:t>The County Council's Revenue Budget and Council Tax for 202</w:t>
      </w:r>
      <w:r w:rsidR="005F20DC">
        <w:rPr>
          <w:rFonts w:cs="Arial"/>
          <w:b/>
          <w:bCs/>
          <w:sz w:val="28"/>
          <w:szCs w:val="28"/>
        </w:rPr>
        <w:t>3</w:t>
      </w:r>
      <w:r w:rsidRPr="005F20DC">
        <w:rPr>
          <w:rFonts w:cs="Arial"/>
          <w:b/>
          <w:bCs/>
          <w:sz w:val="28"/>
          <w:szCs w:val="28"/>
        </w:rPr>
        <w:t>/2</w:t>
      </w:r>
      <w:r w:rsidR="005F20DC">
        <w:rPr>
          <w:rFonts w:cs="Arial"/>
          <w:b/>
          <w:bCs/>
          <w:sz w:val="28"/>
          <w:szCs w:val="28"/>
        </w:rPr>
        <w:t>4</w:t>
      </w:r>
      <w:r w:rsidRPr="005F20DC">
        <w:rPr>
          <w:rFonts w:cs="Arial"/>
          <w:b/>
          <w:bCs/>
          <w:sz w:val="28"/>
          <w:szCs w:val="28"/>
        </w:rPr>
        <w:t xml:space="preserve"> </w:t>
      </w:r>
    </w:p>
    <w:p w14:paraId="672A6659" w14:textId="77777777" w:rsidR="00640F8C" w:rsidRPr="008B4A55" w:rsidRDefault="00640F8C" w:rsidP="00640F8C">
      <w:pPr>
        <w:spacing w:after="0"/>
        <w:jc w:val="both"/>
        <w:rPr>
          <w:rFonts w:cs="Arial"/>
          <w:b/>
          <w:szCs w:val="24"/>
          <w:highlight w:val="yellow"/>
        </w:rPr>
      </w:pPr>
    </w:p>
    <w:p w14:paraId="32A36C38" w14:textId="77777777" w:rsidR="00640F8C" w:rsidRPr="00095BE9" w:rsidRDefault="00EE4778" w:rsidP="00640F8C">
      <w:pPr>
        <w:spacing w:after="0"/>
        <w:jc w:val="both"/>
        <w:rPr>
          <w:rFonts w:cs="Arial"/>
          <w:b/>
          <w:szCs w:val="24"/>
        </w:rPr>
      </w:pPr>
      <w:r w:rsidRPr="00095BE9">
        <w:rPr>
          <w:rFonts w:cs="Arial"/>
          <w:b/>
          <w:szCs w:val="24"/>
        </w:rPr>
        <w:t>1. Introduction</w:t>
      </w:r>
    </w:p>
    <w:p w14:paraId="0A37501D" w14:textId="77777777" w:rsidR="00640F8C" w:rsidRPr="008B4A55" w:rsidRDefault="00640F8C" w:rsidP="00640F8C">
      <w:pPr>
        <w:spacing w:after="0"/>
        <w:jc w:val="both"/>
        <w:rPr>
          <w:rFonts w:cs="Arial"/>
          <w:b/>
          <w:szCs w:val="24"/>
          <w:highlight w:val="yellow"/>
        </w:rPr>
      </w:pPr>
    </w:p>
    <w:p w14:paraId="3F7516B9" w14:textId="3B9D1F2C" w:rsidR="001E1037" w:rsidRDefault="00B76F6B" w:rsidP="00640F8C">
      <w:pPr>
        <w:autoSpaceDE w:val="0"/>
        <w:autoSpaceDN w:val="0"/>
        <w:adjustRightInd w:val="0"/>
        <w:spacing w:after="0"/>
        <w:jc w:val="both"/>
        <w:rPr>
          <w:rFonts w:cs="Arial"/>
        </w:rPr>
      </w:pPr>
      <w:r>
        <w:rPr>
          <w:rFonts w:cs="Arial"/>
        </w:rPr>
        <w:t xml:space="preserve">Councils across the country continue to face ongoing pressures, </w:t>
      </w:r>
      <w:r w:rsidR="00ED6325">
        <w:rPr>
          <w:rFonts w:cs="Arial"/>
        </w:rPr>
        <w:t>driven by increasing demand and inflation</w:t>
      </w:r>
      <w:r w:rsidR="00E43C87">
        <w:rPr>
          <w:rFonts w:cs="Arial"/>
        </w:rPr>
        <w:t xml:space="preserve">. </w:t>
      </w:r>
      <w:r w:rsidR="00ED6325">
        <w:rPr>
          <w:rFonts w:cs="Arial"/>
        </w:rPr>
        <w:t xml:space="preserve">When compounded with the current workforce challenges, local government </w:t>
      </w:r>
      <w:proofErr w:type="gramStart"/>
      <w:r w:rsidR="00ED6325">
        <w:rPr>
          <w:rFonts w:cs="Arial"/>
        </w:rPr>
        <w:t>as a whole must</w:t>
      </w:r>
      <w:proofErr w:type="gramEnd"/>
      <w:r w:rsidR="00ED6325">
        <w:rPr>
          <w:rFonts w:cs="Arial"/>
        </w:rPr>
        <w:t xml:space="preserve"> make difficult decisions and look to be as creative and innovative as possible. At the </w:t>
      </w:r>
      <w:r w:rsidR="00E43C87">
        <w:rPr>
          <w:rFonts w:cs="Arial"/>
        </w:rPr>
        <w:t xml:space="preserve">County Council </w:t>
      </w:r>
      <w:r w:rsidR="00ED6325">
        <w:rPr>
          <w:rFonts w:cs="Arial"/>
        </w:rPr>
        <w:t xml:space="preserve">we have responded by focussing on productivity and efficiency </w:t>
      </w:r>
      <w:proofErr w:type="gramStart"/>
      <w:r w:rsidR="00ED6325">
        <w:rPr>
          <w:rFonts w:cs="Arial"/>
        </w:rPr>
        <w:t>in order to</w:t>
      </w:r>
      <w:proofErr w:type="gramEnd"/>
      <w:r w:rsidR="00ED6325">
        <w:rPr>
          <w:rFonts w:cs="Arial"/>
        </w:rPr>
        <w:t xml:space="preserve"> deliver our priority services. We have a track record of success with such programmes and sound financial stewardship means we </w:t>
      </w:r>
      <w:proofErr w:type="gramStart"/>
      <w:r w:rsidR="00ED6325">
        <w:rPr>
          <w:rFonts w:cs="Arial"/>
        </w:rPr>
        <w:t>are able to</w:t>
      </w:r>
      <w:proofErr w:type="gramEnd"/>
      <w:r w:rsidR="00ED6325">
        <w:rPr>
          <w:rFonts w:cs="Arial"/>
        </w:rPr>
        <w:t xml:space="preserve"> take a considered and measured approach</w:t>
      </w:r>
      <w:r w:rsidR="00C33D94">
        <w:rPr>
          <w:rFonts w:cs="Arial"/>
        </w:rPr>
        <w:t>.</w:t>
      </w:r>
    </w:p>
    <w:p w14:paraId="71A5C2F6" w14:textId="77777777" w:rsidR="00D81B94" w:rsidRDefault="00D81B94" w:rsidP="00640F8C">
      <w:pPr>
        <w:autoSpaceDE w:val="0"/>
        <w:autoSpaceDN w:val="0"/>
        <w:adjustRightInd w:val="0"/>
        <w:spacing w:after="0"/>
        <w:jc w:val="both"/>
        <w:rPr>
          <w:rFonts w:cs="Arial"/>
        </w:rPr>
      </w:pPr>
    </w:p>
    <w:p w14:paraId="485CB860" w14:textId="71D120F0" w:rsidR="002B0E4C" w:rsidRDefault="005516D2" w:rsidP="00FC24EE">
      <w:pPr>
        <w:autoSpaceDE w:val="0"/>
        <w:autoSpaceDN w:val="0"/>
        <w:adjustRightInd w:val="0"/>
        <w:spacing w:after="0"/>
        <w:jc w:val="both"/>
        <w:rPr>
          <w:rFonts w:cs="Arial"/>
        </w:rPr>
      </w:pPr>
      <w:r>
        <w:rPr>
          <w:rFonts w:cs="Arial"/>
        </w:rPr>
        <w:t xml:space="preserve">The current financial year has been marked by volatility and uncertainty in terms of financial forecasting and we have made </w:t>
      </w:r>
      <w:r w:rsidR="00502CF7">
        <w:rPr>
          <w:rFonts w:cs="Arial"/>
        </w:rPr>
        <w:t xml:space="preserve">good progress </w:t>
      </w:r>
      <w:r>
        <w:rPr>
          <w:rFonts w:cs="Arial"/>
        </w:rPr>
        <w:t>in planning for and gripping these challenges as demonstrated in the graph below</w:t>
      </w:r>
      <w:r w:rsidR="00DC2DCF">
        <w:rPr>
          <w:rFonts w:cs="Arial"/>
        </w:rPr>
        <w:t>.</w:t>
      </w:r>
      <w:r w:rsidR="00790E55">
        <w:rPr>
          <w:rFonts w:cs="Arial"/>
        </w:rPr>
        <w:t xml:space="preserve"> </w:t>
      </w:r>
    </w:p>
    <w:p w14:paraId="7EE979B7" w14:textId="5DEF5C49" w:rsidR="001C0B04" w:rsidRDefault="001C0B04" w:rsidP="00FC24EE">
      <w:pPr>
        <w:autoSpaceDE w:val="0"/>
        <w:autoSpaceDN w:val="0"/>
        <w:adjustRightInd w:val="0"/>
        <w:spacing w:after="0"/>
        <w:jc w:val="both"/>
        <w:rPr>
          <w:rFonts w:cs="Arial"/>
        </w:rPr>
      </w:pPr>
    </w:p>
    <w:p w14:paraId="42B451A2" w14:textId="19F31E3F" w:rsidR="001C0B04" w:rsidRDefault="001C0B04" w:rsidP="001C0B04">
      <w:pPr>
        <w:autoSpaceDE w:val="0"/>
        <w:autoSpaceDN w:val="0"/>
        <w:adjustRightInd w:val="0"/>
        <w:spacing w:after="0"/>
        <w:jc w:val="center"/>
        <w:rPr>
          <w:rFonts w:cs="Arial"/>
        </w:rPr>
      </w:pPr>
      <w:r>
        <w:rPr>
          <w:noProof/>
        </w:rPr>
        <w:drawing>
          <wp:inline distT="0" distB="0" distL="0" distR="0" wp14:anchorId="1EDC106F" wp14:editId="7B6F38FA">
            <wp:extent cx="4572000" cy="2743200"/>
            <wp:effectExtent l="0" t="0" r="0" b="0"/>
            <wp:docPr id="1" name="Chart 1">
              <a:extLst xmlns:a="http://schemas.openxmlformats.org/drawingml/2006/main">
                <a:ext uri="{FF2B5EF4-FFF2-40B4-BE49-F238E27FC236}">
                  <a16:creationId xmlns:a16="http://schemas.microsoft.com/office/drawing/2014/main" id="{9A8B6B49-0E97-4FFF-A117-883BE39BB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B1C48E" w14:textId="505CF407" w:rsidR="00FC24EE" w:rsidRDefault="00FC24EE" w:rsidP="00FC24EE">
      <w:pPr>
        <w:autoSpaceDE w:val="0"/>
        <w:autoSpaceDN w:val="0"/>
        <w:adjustRightInd w:val="0"/>
        <w:spacing w:after="0"/>
        <w:jc w:val="both"/>
        <w:rPr>
          <w:rFonts w:cs="Arial"/>
        </w:rPr>
      </w:pPr>
    </w:p>
    <w:p w14:paraId="2EC71424" w14:textId="0DE26526" w:rsidR="001E1037" w:rsidRDefault="00A8514B" w:rsidP="00640F8C">
      <w:pPr>
        <w:autoSpaceDE w:val="0"/>
        <w:autoSpaceDN w:val="0"/>
        <w:adjustRightInd w:val="0"/>
        <w:spacing w:after="0"/>
        <w:jc w:val="both"/>
        <w:rPr>
          <w:rFonts w:cs="Arial"/>
        </w:rPr>
      </w:pPr>
      <w:r>
        <w:rPr>
          <w:rFonts w:cs="Arial"/>
        </w:rPr>
        <w:t xml:space="preserve">In particular, the </w:t>
      </w:r>
      <w:r w:rsidR="00B4632D">
        <w:rPr>
          <w:rFonts w:cs="Arial"/>
        </w:rPr>
        <w:t>Local Government Provisional Settlement announced on 19 December 2022</w:t>
      </w:r>
      <w:r w:rsidR="00E37DAA">
        <w:rPr>
          <w:rFonts w:cs="Arial"/>
        </w:rPr>
        <w:t xml:space="preserve">, </w:t>
      </w:r>
      <w:r>
        <w:rPr>
          <w:rFonts w:cs="Arial"/>
        </w:rPr>
        <w:t xml:space="preserve">gave additional flexibility </w:t>
      </w:r>
      <w:r w:rsidR="00E37DAA">
        <w:rPr>
          <w:rFonts w:cs="Arial"/>
        </w:rPr>
        <w:t xml:space="preserve">with </w:t>
      </w:r>
      <w:r w:rsidR="0016095D">
        <w:rPr>
          <w:rFonts w:cs="Arial"/>
        </w:rPr>
        <w:t xml:space="preserve">a permitted increase in council tax of 4.99% </w:t>
      </w:r>
      <w:r>
        <w:rPr>
          <w:rFonts w:cs="Arial"/>
        </w:rPr>
        <w:t xml:space="preserve">for </w:t>
      </w:r>
      <w:r w:rsidR="0016095D">
        <w:rPr>
          <w:rFonts w:cs="Arial"/>
        </w:rPr>
        <w:t>both 2023/24 and 2024/25 and additional grant funding for social care</w:t>
      </w:r>
      <w:r>
        <w:rPr>
          <w:rFonts w:cs="Arial"/>
        </w:rPr>
        <w:t xml:space="preserve">. In </w:t>
      </w:r>
      <w:r w:rsidR="00E04CB2">
        <w:rPr>
          <w:rFonts w:cs="Arial"/>
        </w:rPr>
        <w:t xml:space="preserve">January </w:t>
      </w:r>
      <w:r>
        <w:rPr>
          <w:rFonts w:cs="Arial"/>
        </w:rPr>
        <w:t>2023, Cabinet indicated their intention to recommend to Full Council that the proposed council tax increase be restricted to 3.99%</w:t>
      </w:r>
      <w:r w:rsidR="003046B1">
        <w:rPr>
          <w:rFonts w:cs="Arial"/>
        </w:rPr>
        <w:t xml:space="preserve"> </w:t>
      </w:r>
      <w:r w:rsidR="00C97CD0">
        <w:rPr>
          <w:rFonts w:cs="Arial"/>
        </w:rPr>
        <w:t xml:space="preserve">at </w:t>
      </w:r>
      <w:r w:rsidR="00FA40FD">
        <w:rPr>
          <w:rFonts w:cs="Arial"/>
        </w:rPr>
        <w:t xml:space="preserve">the </w:t>
      </w:r>
      <w:r w:rsidR="003A3F63">
        <w:rPr>
          <w:rFonts w:cs="Arial"/>
        </w:rPr>
        <w:t>Cabinet</w:t>
      </w:r>
      <w:r w:rsidR="00C97CD0">
        <w:rPr>
          <w:rFonts w:cs="Arial"/>
        </w:rPr>
        <w:t xml:space="preserve"> meeting in</w:t>
      </w:r>
      <w:r w:rsidR="003A3F63">
        <w:rPr>
          <w:rFonts w:cs="Arial"/>
        </w:rPr>
        <w:t xml:space="preserve"> </w:t>
      </w:r>
      <w:r w:rsidR="00E04CB2">
        <w:rPr>
          <w:rFonts w:cs="Arial"/>
        </w:rPr>
        <w:t>February</w:t>
      </w:r>
      <w:r w:rsidR="00FC24EE">
        <w:rPr>
          <w:rFonts w:cs="Arial"/>
        </w:rPr>
        <w:t>.</w:t>
      </w:r>
      <w:r w:rsidR="00BB6C00">
        <w:rPr>
          <w:rFonts w:cs="Arial"/>
        </w:rPr>
        <w:t xml:space="preserve"> </w:t>
      </w:r>
    </w:p>
    <w:p w14:paraId="45F1E4B9" w14:textId="77777777" w:rsidR="001E1037" w:rsidRDefault="001E1037" w:rsidP="00640F8C">
      <w:pPr>
        <w:autoSpaceDE w:val="0"/>
        <w:autoSpaceDN w:val="0"/>
        <w:adjustRightInd w:val="0"/>
        <w:spacing w:after="0"/>
        <w:jc w:val="both"/>
        <w:rPr>
          <w:rFonts w:cs="Arial"/>
        </w:rPr>
      </w:pPr>
    </w:p>
    <w:p w14:paraId="58C210F2" w14:textId="07055020" w:rsidR="006934CB" w:rsidRDefault="00EE4778" w:rsidP="00E04CB2">
      <w:pPr>
        <w:jc w:val="both"/>
        <w:rPr>
          <w:rFonts w:cs="Arial"/>
        </w:rPr>
      </w:pPr>
      <w:r w:rsidRPr="009C3963">
        <w:rPr>
          <w:rFonts w:cs="Arial"/>
        </w:rPr>
        <w:t xml:space="preserve">The </w:t>
      </w:r>
      <w:r w:rsidR="00A8514B">
        <w:rPr>
          <w:rFonts w:cs="Arial"/>
        </w:rPr>
        <w:t xml:space="preserve">council continues to retain relatively healthy reserves with the current </w:t>
      </w:r>
      <w:r w:rsidRPr="009C3963">
        <w:rPr>
          <w:rFonts w:cs="Arial"/>
        </w:rPr>
        <w:t xml:space="preserve">uncommitted transitional reserve, </w:t>
      </w:r>
      <w:r w:rsidR="00A8514B">
        <w:rPr>
          <w:rFonts w:cs="Arial"/>
        </w:rPr>
        <w:t xml:space="preserve">being </w:t>
      </w:r>
      <w:r w:rsidRPr="009C3963">
        <w:rPr>
          <w:rFonts w:cs="Arial"/>
        </w:rPr>
        <w:t xml:space="preserve">sufficient to meet the forecast funding gap </w:t>
      </w:r>
      <w:r w:rsidR="009C3963" w:rsidRPr="009C3963">
        <w:rPr>
          <w:rFonts w:cs="Arial"/>
        </w:rPr>
        <w:t xml:space="preserve">for the next 4 years. </w:t>
      </w:r>
      <w:r w:rsidR="001E11AE" w:rsidRPr="00C1231A">
        <w:rPr>
          <w:rFonts w:eastAsia="Arial" w:cs="Arial"/>
        </w:rPr>
        <w:t xml:space="preserve">However, </w:t>
      </w:r>
      <w:r w:rsidR="003046B1">
        <w:rPr>
          <w:rFonts w:eastAsia="Arial" w:cs="Arial"/>
        </w:rPr>
        <w:t xml:space="preserve">the intention remains to </w:t>
      </w:r>
      <w:r w:rsidR="001E11AE" w:rsidRPr="00C1231A">
        <w:rPr>
          <w:rFonts w:eastAsia="Arial" w:cs="Arial"/>
        </w:rPr>
        <w:t xml:space="preserve">identify further savings and/or deliver </w:t>
      </w:r>
      <w:r w:rsidR="003046B1">
        <w:rPr>
          <w:rFonts w:eastAsia="Arial" w:cs="Arial"/>
        </w:rPr>
        <w:t xml:space="preserve">agreed </w:t>
      </w:r>
      <w:r w:rsidR="001E11AE" w:rsidRPr="00C1231A">
        <w:rPr>
          <w:rFonts w:eastAsia="Arial" w:cs="Arial"/>
        </w:rPr>
        <w:t xml:space="preserve">savings earlier than currently planned </w:t>
      </w:r>
      <w:r w:rsidR="003046B1">
        <w:rPr>
          <w:rFonts w:eastAsia="Arial" w:cs="Arial"/>
        </w:rPr>
        <w:t xml:space="preserve">to reduce the forecast funding gap </w:t>
      </w:r>
      <w:r w:rsidR="00A8514B">
        <w:rPr>
          <w:rFonts w:eastAsia="Arial" w:cs="Arial"/>
        </w:rPr>
        <w:t>enabling further investment to be made into priority service</w:t>
      </w:r>
      <w:r w:rsidR="00BF391E">
        <w:rPr>
          <w:rFonts w:eastAsia="Arial" w:cs="Arial"/>
        </w:rPr>
        <w:t>s</w:t>
      </w:r>
      <w:r w:rsidR="00E04CB2">
        <w:rPr>
          <w:rFonts w:eastAsia="Arial" w:cs="Arial"/>
        </w:rPr>
        <w:t>.</w:t>
      </w:r>
    </w:p>
    <w:p w14:paraId="6BB3E0E5" w14:textId="77777777" w:rsidR="00E04CB2" w:rsidRPr="00E04CB2" w:rsidRDefault="00E04CB2" w:rsidP="00E04CB2">
      <w:pPr>
        <w:jc w:val="both"/>
        <w:rPr>
          <w:rFonts w:cs="Arial"/>
        </w:rPr>
      </w:pPr>
    </w:p>
    <w:p w14:paraId="4703EDB9" w14:textId="259EC9F4" w:rsidR="00640F8C" w:rsidRPr="00E84E82" w:rsidRDefault="005A2610" w:rsidP="00640F8C">
      <w:pPr>
        <w:spacing w:after="0"/>
        <w:jc w:val="both"/>
        <w:rPr>
          <w:rFonts w:cs="Arial"/>
          <w:b/>
        </w:rPr>
      </w:pPr>
      <w:r>
        <w:rPr>
          <w:rFonts w:cs="Arial"/>
          <w:b/>
        </w:rPr>
        <w:t>2</w:t>
      </w:r>
      <w:r w:rsidR="00EE4778" w:rsidRPr="00E84E82">
        <w:rPr>
          <w:rFonts w:cs="Arial"/>
          <w:b/>
        </w:rPr>
        <w:t>. The Revenue Budget</w:t>
      </w:r>
      <w:r w:rsidR="00EE4778" w:rsidRPr="00E84E82">
        <w:rPr>
          <w:rFonts w:cs="Arial"/>
        </w:rPr>
        <w:t xml:space="preserve"> </w:t>
      </w:r>
      <w:r w:rsidR="00EE4778" w:rsidRPr="00E84E82">
        <w:rPr>
          <w:rFonts w:cs="Arial"/>
          <w:b/>
          <w:bCs/>
        </w:rPr>
        <w:t>202</w:t>
      </w:r>
      <w:r w:rsidR="00C40961">
        <w:rPr>
          <w:rFonts w:cs="Arial"/>
          <w:b/>
          <w:bCs/>
        </w:rPr>
        <w:t>3</w:t>
      </w:r>
      <w:r w:rsidR="00EE4778" w:rsidRPr="00E84E82">
        <w:rPr>
          <w:rFonts w:cs="Arial"/>
          <w:b/>
          <w:bCs/>
        </w:rPr>
        <w:t>/2</w:t>
      </w:r>
      <w:r w:rsidR="00C40961">
        <w:rPr>
          <w:rFonts w:cs="Arial"/>
          <w:b/>
          <w:bCs/>
        </w:rPr>
        <w:t>4</w:t>
      </w:r>
      <w:r w:rsidR="00EE4778" w:rsidRPr="00E84E82">
        <w:rPr>
          <w:rFonts w:cs="Arial"/>
          <w:b/>
          <w:bCs/>
        </w:rPr>
        <w:t xml:space="preserve"> to 20</w:t>
      </w:r>
      <w:r w:rsidR="00E84E82" w:rsidRPr="00E84E82">
        <w:rPr>
          <w:rFonts w:cs="Arial"/>
          <w:b/>
          <w:bCs/>
        </w:rPr>
        <w:t>26/27</w:t>
      </w:r>
    </w:p>
    <w:p w14:paraId="77CB5159" w14:textId="77777777" w:rsidR="00E04CB2" w:rsidRPr="00185D31" w:rsidRDefault="00E04CB2" w:rsidP="00E04CB2">
      <w:pPr>
        <w:spacing w:after="0"/>
        <w:jc w:val="both"/>
        <w:rPr>
          <w:rFonts w:cs="Arial"/>
          <w:i/>
          <w:szCs w:val="24"/>
        </w:rPr>
      </w:pPr>
    </w:p>
    <w:p w14:paraId="7A5AE2FE" w14:textId="77EE1A52" w:rsidR="00E04CB2" w:rsidRDefault="00E04CB2" w:rsidP="00E04CB2">
      <w:pPr>
        <w:spacing w:after="0"/>
        <w:jc w:val="both"/>
        <w:rPr>
          <w:rFonts w:cs="Arial"/>
          <w:szCs w:val="24"/>
        </w:rPr>
      </w:pPr>
      <w:r w:rsidRPr="00185D31">
        <w:rPr>
          <w:rFonts w:cs="Arial"/>
          <w:szCs w:val="24"/>
        </w:rPr>
        <w:t xml:space="preserve">A report was presented to Cabinet </w:t>
      </w:r>
      <w:r>
        <w:rPr>
          <w:rFonts w:cs="Arial"/>
          <w:szCs w:val="24"/>
        </w:rPr>
        <w:t>on 2 February</w:t>
      </w:r>
      <w:r w:rsidRPr="00185D31">
        <w:rPr>
          <w:rFonts w:cs="Arial"/>
          <w:szCs w:val="24"/>
        </w:rPr>
        <w:t xml:space="preserve"> 202</w:t>
      </w:r>
      <w:r>
        <w:rPr>
          <w:rFonts w:cs="Arial"/>
          <w:szCs w:val="24"/>
        </w:rPr>
        <w:t>3</w:t>
      </w:r>
      <w:r w:rsidRPr="00185D31">
        <w:rPr>
          <w:rFonts w:cs="Arial"/>
          <w:szCs w:val="24"/>
        </w:rPr>
        <w:t xml:space="preserve"> including the </w:t>
      </w:r>
      <w:proofErr w:type="gramStart"/>
      <w:r w:rsidRPr="00185D31">
        <w:rPr>
          <w:rFonts w:cs="Arial"/>
          <w:szCs w:val="24"/>
        </w:rPr>
        <w:t>medium term</w:t>
      </w:r>
      <w:proofErr w:type="gramEnd"/>
      <w:r w:rsidRPr="00185D31">
        <w:rPr>
          <w:rFonts w:cs="Arial"/>
          <w:szCs w:val="24"/>
        </w:rPr>
        <w:t xml:space="preserve"> financial strategy</w:t>
      </w:r>
      <w:r>
        <w:rPr>
          <w:rFonts w:cs="Arial"/>
          <w:szCs w:val="24"/>
        </w:rPr>
        <w:t xml:space="preserve">. This recommended an increase in council tax of 3.99% </w:t>
      </w:r>
      <w:r w:rsidR="001C0B04">
        <w:rPr>
          <w:rFonts w:cs="Arial"/>
          <w:szCs w:val="24"/>
        </w:rPr>
        <w:t>and forecast a</w:t>
      </w:r>
      <w:r>
        <w:rPr>
          <w:rFonts w:cs="Arial"/>
          <w:szCs w:val="24"/>
        </w:rPr>
        <w:t xml:space="preserve"> financial gap of £9.501m</w:t>
      </w:r>
      <w:r w:rsidR="00FA40FD">
        <w:rPr>
          <w:rFonts w:cs="Arial"/>
          <w:szCs w:val="24"/>
        </w:rPr>
        <w:t>.</w:t>
      </w:r>
    </w:p>
    <w:p w14:paraId="55C9241A" w14:textId="77777777" w:rsidR="00E04CB2" w:rsidRDefault="00E04CB2" w:rsidP="00E04CB2">
      <w:pPr>
        <w:spacing w:after="0"/>
        <w:jc w:val="both"/>
        <w:rPr>
          <w:rFonts w:cs="Arial"/>
          <w:szCs w:val="24"/>
        </w:rPr>
      </w:pPr>
    </w:p>
    <w:p w14:paraId="4DFCB692" w14:textId="63317C63" w:rsidR="00E04CB2" w:rsidRDefault="00E04CB2" w:rsidP="00E04CB2">
      <w:pPr>
        <w:spacing w:after="0"/>
        <w:jc w:val="both"/>
        <w:rPr>
          <w:rFonts w:cs="Arial"/>
          <w:szCs w:val="24"/>
        </w:rPr>
      </w:pPr>
      <w:r>
        <w:rPr>
          <w:rFonts w:cs="Arial"/>
          <w:szCs w:val="24"/>
        </w:rPr>
        <w:t xml:space="preserve">The position has now been updated to reflect additional information received from District Councils in relation to the tax base position. The final information </w:t>
      </w:r>
      <w:r w:rsidR="00FA40FD">
        <w:rPr>
          <w:rFonts w:cs="Arial"/>
          <w:szCs w:val="24"/>
        </w:rPr>
        <w:t>relating</w:t>
      </w:r>
      <w:r>
        <w:rPr>
          <w:rFonts w:cs="Arial"/>
          <w:szCs w:val="24"/>
        </w:rPr>
        <w:t xml:space="preserve"> to the collection fund will be included in a budget adjustment to Full Council, as that w</w:t>
      </w:r>
      <w:r w:rsidR="00FA40FD">
        <w:rPr>
          <w:rFonts w:cs="Arial"/>
          <w:szCs w:val="24"/>
        </w:rPr>
        <w:t>as</w:t>
      </w:r>
      <w:r>
        <w:rPr>
          <w:rFonts w:cs="Arial"/>
          <w:szCs w:val="24"/>
        </w:rPr>
        <w:t xml:space="preserve"> not received in time for the publication of th</w:t>
      </w:r>
      <w:r w:rsidR="00FA40FD">
        <w:rPr>
          <w:rFonts w:cs="Arial"/>
          <w:szCs w:val="24"/>
        </w:rPr>
        <w:t>is</w:t>
      </w:r>
      <w:r>
        <w:rPr>
          <w:rFonts w:cs="Arial"/>
          <w:szCs w:val="24"/>
        </w:rPr>
        <w:t xml:space="preserve"> report. </w:t>
      </w:r>
      <w:r w:rsidRPr="00185D31">
        <w:rPr>
          <w:rFonts w:cs="Arial"/>
          <w:szCs w:val="24"/>
        </w:rPr>
        <w:t xml:space="preserve">The position presented to </w:t>
      </w:r>
      <w:r w:rsidR="00FA40FD">
        <w:rPr>
          <w:rFonts w:cs="Arial"/>
          <w:szCs w:val="24"/>
        </w:rPr>
        <w:t>C</w:t>
      </w:r>
      <w:r w:rsidRPr="00185D31">
        <w:rPr>
          <w:rFonts w:cs="Arial"/>
          <w:szCs w:val="24"/>
        </w:rPr>
        <w:t xml:space="preserve">abinet and subsequent changes are set out in Table </w:t>
      </w:r>
      <w:r w:rsidR="00CE0792">
        <w:rPr>
          <w:rFonts w:cs="Arial"/>
          <w:szCs w:val="24"/>
        </w:rPr>
        <w:t>1</w:t>
      </w:r>
      <w:r w:rsidRPr="00185D31">
        <w:rPr>
          <w:rFonts w:cs="Arial"/>
          <w:szCs w:val="24"/>
        </w:rPr>
        <w:t>.</w:t>
      </w:r>
    </w:p>
    <w:p w14:paraId="72F4E6F6" w14:textId="77777777" w:rsidR="00E04CB2" w:rsidRDefault="00E04CB2" w:rsidP="00E04CB2">
      <w:pPr>
        <w:spacing w:after="0"/>
        <w:jc w:val="both"/>
        <w:rPr>
          <w:rFonts w:cs="Arial"/>
          <w:szCs w:val="24"/>
        </w:rPr>
      </w:pPr>
    </w:p>
    <w:p w14:paraId="384D6919" w14:textId="3475EA79" w:rsidR="00E04CB2" w:rsidRDefault="00E04CB2" w:rsidP="00E04CB2">
      <w:pPr>
        <w:spacing w:after="0"/>
        <w:rPr>
          <w:rFonts w:cs="Arial"/>
          <w:b/>
          <w:i/>
          <w:iCs/>
          <w:u w:val="single"/>
        </w:rPr>
      </w:pPr>
      <w:r w:rsidRPr="0095324F">
        <w:rPr>
          <w:rFonts w:cs="Arial"/>
          <w:b/>
          <w:i/>
          <w:iCs/>
          <w:u w:val="single"/>
        </w:rPr>
        <w:t xml:space="preserve">Table </w:t>
      </w:r>
      <w:r w:rsidR="00403E25">
        <w:rPr>
          <w:rFonts w:cs="Arial"/>
          <w:b/>
          <w:i/>
          <w:iCs/>
          <w:u w:val="single"/>
        </w:rPr>
        <w:t>1</w:t>
      </w:r>
      <w:r>
        <w:rPr>
          <w:rFonts w:cs="Arial"/>
          <w:b/>
          <w:i/>
          <w:iCs/>
          <w:u w:val="single"/>
        </w:rPr>
        <w:t xml:space="preserve"> – Medium Term Financial Strategy</w:t>
      </w:r>
    </w:p>
    <w:p w14:paraId="0CC5B622" w14:textId="77777777" w:rsidR="00E04CB2" w:rsidRDefault="00E04CB2" w:rsidP="00E04CB2">
      <w:pPr>
        <w:spacing w:after="0"/>
        <w:rPr>
          <w:rFonts w:cs="Arial"/>
          <w:b/>
          <w:i/>
          <w:iCs/>
          <w:u w:val="single"/>
        </w:rPr>
      </w:pPr>
    </w:p>
    <w:tbl>
      <w:tblPr>
        <w:tblW w:w="9062" w:type="dxa"/>
        <w:tblLook w:val="04A0" w:firstRow="1" w:lastRow="0" w:firstColumn="1" w:lastColumn="0" w:noHBand="0" w:noVBand="1"/>
      </w:tblPr>
      <w:tblGrid>
        <w:gridCol w:w="4489"/>
        <w:gridCol w:w="1163"/>
        <w:gridCol w:w="1163"/>
        <w:gridCol w:w="1163"/>
        <w:gridCol w:w="1084"/>
      </w:tblGrid>
      <w:tr w:rsidR="00E04CB2" w:rsidRPr="00CD4BC8" w14:paraId="50A0443A" w14:textId="77777777">
        <w:trPr>
          <w:trHeight w:val="295"/>
        </w:trPr>
        <w:tc>
          <w:tcPr>
            <w:tcW w:w="4489" w:type="dxa"/>
            <w:tcBorders>
              <w:top w:val="single" w:sz="8" w:space="0" w:color="auto"/>
              <w:left w:val="single" w:sz="8" w:space="0" w:color="auto"/>
              <w:bottom w:val="nil"/>
              <w:right w:val="single" w:sz="8" w:space="0" w:color="auto"/>
            </w:tcBorders>
            <w:shd w:val="clear" w:color="000000" w:fill="BFBFBF"/>
            <w:hideMark/>
          </w:tcPr>
          <w:p w14:paraId="17E8E5DC" w14:textId="77777777" w:rsidR="00E04CB2" w:rsidRPr="00107158" w:rsidRDefault="00E04CB2">
            <w:pPr>
              <w:spacing w:after="0"/>
              <w:rPr>
                <w:rFonts w:cs="Arial"/>
                <w:lang w:eastAsia="en-GB"/>
              </w:rPr>
            </w:pPr>
            <w:r w:rsidRPr="00107158">
              <w:rPr>
                <w:rFonts w:cs="Arial"/>
                <w:lang w:eastAsia="en-GB"/>
              </w:rPr>
              <w:t> </w:t>
            </w:r>
          </w:p>
        </w:tc>
        <w:tc>
          <w:tcPr>
            <w:tcW w:w="1163" w:type="dxa"/>
            <w:tcBorders>
              <w:top w:val="single" w:sz="8" w:space="0" w:color="auto"/>
              <w:left w:val="nil"/>
              <w:bottom w:val="nil"/>
              <w:right w:val="single" w:sz="8" w:space="0" w:color="auto"/>
            </w:tcBorders>
            <w:shd w:val="clear" w:color="000000" w:fill="BFBFBF"/>
            <w:vAlign w:val="center"/>
            <w:hideMark/>
          </w:tcPr>
          <w:p w14:paraId="5CC6E28A" w14:textId="77777777" w:rsidR="00E04CB2" w:rsidRPr="00107158" w:rsidRDefault="00E04CB2">
            <w:pPr>
              <w:spacing w:after="0"/>
              <w:jc w:val="center"/>
              <w:rPr>
                <w:rFonts w:cs="Arial"/>
                <w:b/>
                <w:bCs/>
                <w:lang w:eastAsia="en-GB"/>
              </w:rPr>
            </w:pPr>
            <w:r w:rsidRPr="00107158">
              <w:rPr>
                <w:rFonts w:cs="Arial"/>
                <w:b/>
                <w:bCs/>
                <w:lang w:eastAsia="en-GB"/>
              </w:rPr>
              <w:t>2023/24</w:t>
            </w:r>
          </w:p>
        </w:tc>
        <w:tc>
          <w:tcPr>
            <w:tcW w:w="1163" w:type="dxa"/>
            <w:tcBorders>
              <w:top w:val="single" w:sz="8" w:space="0" w:color="auto"/>
              <w:left w:val="nil"/>
              <w:bottom w:val="nil"/>
              <w:right w:val="single" w:sz="8" w:space="0" w:color="auto"/>
            </w:tcBorders>
            <w:shd w:val="clear" w:color="000000" w:fill="BFBFBF"/>
            <w:vAlign w:val="center"/>
            <w:hideMark/>
          </w:tcPr>
          <w:p w14:paraId="54EDBC1F" w14:textId="77777777" w:rsidR="00E04CB2" w:rsidRPr="00107158" w:rsidRDefault="00E04CB2">
            <w:pPr>
              <w:spacing w:after="0"/>
              <w:jc w:val="center"/>
              <w:rPr>
                <w:rFonts w:cs="Arial"/>
                <w:b/>
                <w:bCs/>
                <w:lang w:eastAsia="en-GB"/>
              </w:rPr>
            </w:pPr>
            <w:r w:rsidRPr="00107158">
              <w:rPr>
                <w:rFonts w:cs="Arial"/>
                <w:b/>
                <w:bCs/>
                <w:lang w:eastAsia="en-GB"/>
              </w:rPr>
              <w:t>2024/25</w:t>
            </w:r>
          </w:p>
        </w:tc>
        <w:tc>
          <w:tcPr>
            <w:tcW w:w="1163" w:type="dxa"/>
            <w:tcBorders>
              <w:top w:val="single" w:sz="8" w:space="0" w:color="auto"/>
              <w:left w:val="nil"/>
              <w:bottom w:val="nil"/>
              <w:right w:val="single" w:sz="8" w:space="0" w:color="auto"/>
            </w:tcBorders>
            <w:shd w:val="clear" w:color="000000" w:fill="BFBFBF"/>
            <w:vAlign w:val="center"/>
            <w:hideMark/>
          </w:tcPr>
          <w:p w14:paraId="3F56D1FF" w14:textId="77777777" w:rsidR="00E04CB2" w:rsidRPr="00107158" w:rsidRDefault="00E04CB2">
            <w:pPr>
              <w:spacing w:after="0"/>
              <w:jc w:val="center"/>
              <w:rPr>
                <w:rFonts w:cs="Arial"/>
                <w:b/>
                <w:bCs/>
                <w:lang w:eastAsia="en-GB"/>
              </w:rPr>
            </w:pPr>
            <w:r w:rsidRPr="00107158">
              <w:rPr>
                <w:rFonts w:cs="Arial"/>
                <w:b/>
                <w:bCs/>
                <w:lang w:eastAsia="en-GB"/>
              </w:rPr>
              <w:t>2025/26</w:t>
            </w:r>
          </w:p>
        </w:tc>
        <w:tc>
          <w:tcPr>
            <w:tcW w:w="1084" w:type="dxa"/>
            <w:tcBorders>
              <w:top w:val="single" w:sz="8" w:space="0" w:color="auto"/>
              <w:left w:val="nil"/>
              <w:bottom w:val="nil"/>
              <w:right w:val="single" w:sz="8" w:space="0" w:color="auto"/>
            </w:tcBorders>
            <w:shd w:val="clear" w:color="000000" w:fill="BFBFBF"/>
            <w:vAlign w:val="center"/>
            <w:hideMark/>
          </w:tcPr>
          <w:p w14:paraId="00C2EA39" w14:textId="77777777" w:rsidR="00E04CB2" w:rsidRPr="00107158" w:rsidRDefault="00E04CB2">
            <w:pPr>
              <w:spacing w:after="0"/>
              <w:jc w:val="center"/>
              <w:rPr>
                <w:rFonts w:cs="Arial"/>
                <w:b/>
                <w:bCs/>
                <w:lang w:eastAsia="en-GB"/>
              </w:rPr>
            </w:pPr>
            <w:r w:rsidRPr="00107158">
              <w:rPr>
                <w:rFonts w:cs="Arial"/>
                <w:b/>
                <w:bCs/>
                <w:lang w:eastAsia="en-GB"/>
              </w:rPr>
              <w:t>2026/27</w:t>
            </w:r>
          </w:p>
        </w:tc>
      </w:tr>
      <w:tr w:rsidR="00E04CB2" w:rsidRPr="00CD4BC8" w14:paraId="788BBCA1" w14:textId="77777777">
        <w:trPr>
          <w:trHeight w:val="309"/>
        </w:trPr>
        <w:tc>
          <w:tcPr>
            <w:tcW w:w="4489" w:type="dxa"/>
            <w:tcBorders>
              <w:top w:val="nil"/>
              <w:left w:val="single" w:sz="8" w:space="0" w:color="auto"/>
              <w:bottom w:val="single" w:sz="8" w:space="0" w:color="auto"/>
              <w:right w:val="single" w:sz="8" w:space="0" w:color="auto"/>
            </w:tcBorders>
            <w:shd w:val="clear" w:color="000000" w:fill="BFBFBF"/>
            <w:hideMark/>
          </w:tcPr>
          <w:p w14:paraId="2F6655C4" w14:textId="77777777" w:rsidR="00E04CB2" w:rsidRPr="00107158" w:rsidRDefault="00E04CB2">
            <w:pPr>
              <w:spacing w:after="0"/>
              <w:rPr>
                <w:rFonts w:cs="Arial"/>
                <w:lang w:eastAsia="en-GB"/>
              </w:rPr>
            </w:pPr>
          </w:p>
        </w:tc>
        <w:tc>
          <w:tcPr>
            <w:tcW w:w="1163" w:type="dxa"/>
            <w:tcBorders>
              <w:top w:val="nil"/>
              <w:left w:val="nil"/>
              <w:bottom w:val="single" w:sz="8" w:space="0" w:color="auto"/>
              <w:right w:val="single" w:sz="8" w:space="0" w:color="auto"/>
            </w:tcBorders>
            <w:shd w:val="clear" w:color="000000" w:fill="BFBFBF"/>
            <w:vAlign w:val="center"/>
            <w:hideMark/>
          </w:tcPr>
          <w:p w14:paraId="03F50657" w14:textId="77777777" w:rsidR="00E04CB2" w:rsidRPr="00107158" w:rsidRDefault="00E04CB2">
            <w:pPr>
              <w:spacing w:after="0"/>
              <w:jc w:val="center"/>
              <w:rPr>
                <w:rFonts w:cs="Arial"/>
                <w:b/>
                <w:bCs/>
                <w:lang w:eastAsia="en-GB"/>
              </w:rPr>
            </w:pPr>
            <w:r w:rsidRPr="00107158">
              <w:rPr>
                <w:rFonts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6A00EBAE" w14:textId="77777777" w:rsidR="00E04CB2" w:rsidRPr="00107158" w:rsidRDefault="00E04CB2">
            <w:pPr>
              <w:spacing w:after="0"/>
              <w:jc w:val="center"/>
              <w:rPr>
                <w:rFonts w:cs="Arial"/>
                <w:b/>
                <w:bCs/>
                <w:lang w:eastAsia="en-GB"/>
              </w:rPr>
            </w:pPr>
            <w:r w:rsidRPr="00107158">
              <w:rPr>
                <w:rFonts w:cs="Arial"/>
                <w:b/>
                <w:bCs/>
                <w:lang w:eastAsia="en-GB"/>
              </w:rPr>
              <w:t>£m</w:t>
            </w:r>
          </w:p>
        </w:tc>
        <w:tc>
          <w:tcPr>
            <w:tcW w:w="1163" w:type="dxa"/>
            <w:tcBorders>
              <w:top w:val="nil"/>
              <w:left w:val="nil"/>
              <w:bottom w:val="single" w:sz="8" w:space="0" w:color="auto"/>
              <w:right w:val="single" w:sz="8" w:space="0" w:color="auto"/>
            </w:tcBorders>
            <w:shd w:val="clear" w:color="000000" w:fill="BFBFBF"/>
            <w:vAlign w:val="center"/>
            <w:hideMark/>
          </w:tcPr>
          <w:p w14:paraId="405E5544" w14:textId="77777777" w:rsidR="00E04CB2" w:rsidRPr="00107158" w:rsidRDefault="00E04CB2">
            <w:pPr>
              <w:spacing w:after="0"/>
              <w:jc w:val="center"/>
              <w:rPr>
                <w:rFonts w:cs="Arial"/>
                <w:b/>
                <w:bCs/>
                <w:lang w:eastAsia="en-GB"/>
              </w:rPr>
            </w:pPr>
            <w:r w:rsidRPr="00107158">
              <w:rPr>
                <w:rFonts w:cs="Arial"/>
                <w:b/>
                <w:bCs/>
                <w:lang w:eastAsia="en-GB"/>
              </w:rPr>
              <w:t>£m</w:t>
            </w:r>
          </w:p>
        </w:tc>
        <w:tc>
          <w:tcPr>
            <w:tcW w:w="1084" w:type="dxa"/>
            <w:tcBorders>
              <w:top w:val="nil"/>
              <w:left w:val="nil"/>
              <w:bottom w:val="single" w:sz="8" w:space="0" w:color="auto"/>
              <w:right w:val="single" w:sz="8" w:space="0" w:color="auto"/>
            </w:tcBorders>
            <w:shd w:val="clear" w:color="000000" w:fill="BFBFBF"/>
            <w:vAlign w:val="center"/>
            <w:hideMark/>
          </w:tcPr>
          <w:p w14:paraId="7DF9F07C" w14:textId="77777777" w:rsidR="00E04CB2" w:rsidRPr="00107158" w:rsidRDefault="00E04CB2">
            <w:pPr>
              <w:spacing w:after="0"/>
              <w:jc w:val="center"/>
              <w:rPr>
                <w:rFonts w:cs="Arial"/>
                <w:b/>
                <w:bCs/>
                <w:lang w:eastAsia="en-GB"/>
              </w:rPr>
            </w:pPr>
            <w:r w:rsidRPr="00107158">
              <w:rPr>
                <w:rFonts w:cs="Arial"/>
                <w:b/>
                <w:bCs/>
                <w:lang w:eastAsia="en-GB"/>
              </w:rPr>
              <w:t>£m</w:t>
            </w:r>
          </w:p>
        </w:tc>
      </w:tr>
      <w:tr w:rsidR="00E04CB2" w:rsidRPr="00CD4BC8" w14:paraId="384EB0FA" w14:textId="77777777">
        <w:trPr>
          <w:trHeight w:val="604"/>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23D068CC" w14:textId="77777777" w:rsidR="00E04CB2" w:rsidRPr="00107158" w:rsidRDefault="00E04CB2">
            <w:pPr>
              <w:spacing w:after="0"/>
              <w:rPr>
                <w:rFonts w:cs="Arial"/>
                <w:b/>
                <w:bCs/>
                <w:lang w:eastAsia="en-GB"/>
              </w:rPr>
            </w:pPr>
            <w:r w:rsidRPr="00107158">
              <w:rPr>
                <w:rFonts w:cs="Arial"/>
                <w:b/>
                <w:bCs/>
                <w:lang w:eastAsia="en-GB"/>
              </w:rPr>
              <w:t xml:space="preserve">Spending Gap as reported </w:t>
            </w:r>
            <w:r>
              <w:rPr>
                <w:rFonts w:cs="Arial"/>
                <w:b/>
                <w:bCs/>
                <w:lang w:eastAsia="en-GB"/>
              </w:rPr>
              <w:t>February Cabinet</w:t>
            </w:r>
          </w:p>
        </w:tc>
        <w:tc>
          <w:tcPr>
            <w:tcW w:w="1163" w:type="dxa"/>
            <w:tcBorders>
              <w:top w:val="nil"/>
              <w:left w:val="nil"/>
              <w:bottom w:val="single" w:sz="8" w:space="0" w:color="auto"/>
              <w:right w:val="single" w:sz="8" w:space="0" w:color="auto"/>
            </w:tcBorders>
            <w:shd w:val="clear" w:color="auto" w:fill="auto"/>
            <w:vAlign w:val="center"/>
            <w:hideMark/>
          </w:tcPr>
          <w:p w14:paraId="0D511AC7" w14:textId="77777777" w:rsidR="00E04CB2" w:rsidRPr="00107158" w:rsidRDefault="00E04CB2">
            <w:pPr>
              <w:spacing w:after="0"/>
              <w:jc w:val="right"/>
              <w:rPr>
                <w:rFonts w:cs="Arial"/>
                <w:b/>
                <w:bCs/>
                <w:lang w:eastAsia="en-GB"/>
              </w:rPr>
            </w:pPr>
            <w:r>
              <w:rPr>
                <w:rFonts w:cs="Arial"/>
                <w:b/>
                <w:bCs/>
                <w:lang w:eastAsia="en-GB"/>
              </w:rPr>
              <w:t>9.501</w:t>
            </w:r>
          </w:p>
        </w:tc>
        <w:tc>
          <w:tcPr>
            <w:tcW w:w="1163" w:type="dxa"/>
            <w:tcBorders>
              <w:top w:val="nil"/>
              <w:left w:val="nil"/>
              <w:bottom w:val="single" w:sz="8" w:space="0" w:color="auto"/>
              <w:right w:val="single" w:sz="8" w:space="0" w:color="auto"/>
            </w:tcBorders>
            <w:shd w:val="clear" w:color="auto" w:fill="auto"/>
            <w:vAlign w:val="center"/>
            <w:hideMark/>
          </w:tcPr>
          <w:p w14:paraId="7B7CEE66" w14:textId="77777777" w:rsidR="00E04CB2" w:rsidRPr="00107158" w:rsidRDefault="00E04CB2">
            <w:pPr>
              <w:spacing w:after="0"/>
              <w:jc w:val="right"/>
              <w:rPr>
                <w:rFonts w:cs="Arial"/>
                <w:b/>
                <w:bCs/>
                <w:lang w:eastAsia="en-GB"/>
              </w:rPr>
            </w:pPr>
            <w:r>
              <w:rPr>
                <w:rFonts w:cs="Arial"/>
                <w:b/>
                <w:bCs/>
                <w:lang w:eastAsia="en-GB"/>
              </w:rPr>
              <w:t>-7.963</w:t>
            </w:r>
          </w:p>
        </w:tc>
        <w:tc>
          <w:tcPr>
            <w:tcW w:w="1163" w:type="dxa"/>
            <w:tcBorders>
              <w:top w:val="nil"/>
              <w:left w:val="nil"/>
              <w:bottom w:val="single" w:sz="8" w:space="0" w:color="auto"/>
              <w:right w:val="single" w:sz="8" w:space="0" w:color="auto"/>
            </w:tcBorders>
            <w:shd w:val="clear" w:color="auto" w:fill="auto"/>
            <w:vAlign w:val="center"/>
            <w:hideMark/>
          </w:tcPr>
          <w:p w14:paraId="02D2C268" w14:textId="77777777" w:rsidR="00E04CB2" w:rsidRPr="00107158" w:rsidRDefault="00E04CB2">
            <w:pPr>
              <w:spacing w:after="0"/>
              <w:jc w:val="right"/>
              <w:rPr>
                <w:rFonts w:cs="Arial"/>
                <w:b/>
                <w:bCs/>
                <w:lang w:eastAsia="en-GB"/>
              </w:rPr>
            </w:pPr>
            <w:r>
              <w:rPr>
                <w:rFonts w:cs="Arial"/>
                <w:b/>
                <w:bCs/>
                <w:lang w:eastAsia="en-GB"/>
              </w:rPr>
              <w:t>10.979</w:t>
            </w:r>
          </w:p>
        </w:tc>
        <w:tc>
          <w:tcPr>
            <w:tcW w:w="1084" w:type="dxa"/>
            <w:tcBorders>
              <w:top w:val="nil"/>
              <w:left w:val="nil"/>
              <w:bottom w:val="single" w:sz="8" w:space="0" w:color="auto"/>
              <w:right w:val="single" w:sz="8" w:space="0" w:color="auto"/>
            </w:tcBorders>
            <w:shd w:val="clear" w:color="auto" w:fill="auto"/>
            <w:vAlign w:val="center"/>
            <w:hideMark/>
          </w:tcPr>
          <w:p w14:paraId="6A78D34A" w14:textId="77777777" w:rsidR="00E04CB2" w:rsidRPr="00107158" w:rsidRDefault="00E04CB2">
            <w:pPr>
              <w:spacing w:after="0"/>
              <w:jc w:val="right"/>
              <w:rPr>
                <w:rFonts w:cs="Arial"/>
                <w:b/>
                <w:bCs/>
                <w:lang w:eastAsia="en-GB"/>
              </w:rPr>
            </w:pPr>
            <w:r>
              <w:rPr>
                <w:rFonts w:cs="Arial"/>
                <w:b/>
                <w:bCs/>
                <w:lang w:eastAsia="en-GB"/>
              </w:rPr>
              <w:t>23.286</w:t>
            </w:r>
          </w:p>
        </w:tc>
      </w:tr>
      <w:tr w:rsidR="00E04CB2" w:rsidRPr="00CD4BC8" w14:paraId="1ED659A5" w14:textId="77777777">
        <w:trPr>
          <w:trHeight w:val="295"/>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3DE8314D" w14:textId="77777777" w:rsidR="00E04CB2" w:rsidRPr="00107158" w:rsidRDefault="00E04CB2">
            <w:pPr>
              <w:spacing w:after="0"/>
              <w:rPr>
                <w:rFonts w:cs="Arial"/>
                <w:lang w:eastAsia="en-GB"/>
              </w:rPr>
            </w:pPr>
          </w:p>
        </w:tc>
        <w:tc>
          <w:tcPr>
            <w:tcW w:w="1163" w:type="dxa"/>
            <w:tcBorders>
              <w:top w:val="nil"/>
              <w:left w:val="nil"/>
              <w:bottom w:val="single" w:sz="8" w:space="0" w:color="auto"/>
              <w:right w:val="single" w:sz="8" w:space="0" w:color="auto"/>
            </w:tcBorders>
            <w:shd w:val="clear" w:color="000000" w:fill="BFBFBF"/>
            <w:vAlign w:val="center"/>
            <w:hideMark/>
          </w:tcPr>
          <w:p w14:paraId="0FB81F95" w14:textId="77777777" w:rsidR="00E04CB2" w:rsidRPr="00107158" w:rsidRDefault="00E04CB2">
            <w:pPr>
              <w:spacing w:after="0"/>
              <w:jc w:val="right"/>
              <w:rPr>
                <w:rFonts w:cs="Arial"/>
                <w:lang w:eastAsia="en-GB"/>
              </w:rPr>
            </w:pPr>
            <w:r w:rsidRPr="00107158">
              <w:rPr>
                <w:rFonts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25A04AFB" w14:textId="77777777" w:rsidR="00E04CB2" w:rsidRPr="00107158" w:rsidRDefault="00E04CB2">
            <w:pPr>
              <w:spacing w:after="0"/>
              <w:jc w:val="right"/>
              <w:rPr>
                <w:rFonts w:cs="Arial"/>
                <w:lang w:eastAsia="en-GB"/>
              </w:rPr>
            </w:pPr>
            <w:r w:rsidRPr="00107158">
              <w:rPr>
                <w:rFonts w:cs="Arial"/>
                <w:lang w:eastAsia="en-GB"/>
              </w:rPr>
              <w:t> </w:t>
            </w:r>
          </w:p>
        </w:tc>
        <w:tc>
          <w:tcPr>
            <w:tcW w:w="1163" w:type="dxa"/>
            <w:tcBorders>
              <w:top w:val="nil"/>
              <w:left w:val="nil"/>
              <w:bottom w:val="single" w:sz="8" w:space="0" w:color="auto"/>
              <w:right w:val="single" w:sz="8" w:space="0" w:color="auto"/>
            </w:tcBorders>
            <w:shd w:val="clear" w:color="000000" w:fill="BFBFBF"/>
            <w:vAlign w:val="center"/>
            <w:hideMark/>
          </w:tcPr>
          <w:p w14:paraId="11694D56" w14:textId="77777777" w:rsidR="00E04CB2" w:rsidRPr="00107158" w:rsidRDefault="00E04CB2">
            <w:pPr>
              <w:spacing w:after="0"/>
              <w:jc w:val="right"/>
              <w:rPr>
                <w:rFonts w:cs="Arial"/>
                <w:lang w:eastAsia="en-GB"/>
              </w:rPr>
            </w:pPr>
            <w:r w:rsidRPr="00107158">
              <w:rPr>
                <w:rFonts w:cs="Arial"/>
                <w:lang w:eastAsia="en-GB"/>
              </w:rPr>
              <w:t> </w:t>
            </w:r>
          </w:p>
        </w:tc>
        <w:tc>
          <w:tcPr>
            <w:tcW w:w="1084" w:type="dxa"/>
            <w:tcBorders>
              <w:top w:val="nil"/>
              <w:left w:val="nil"/>
              <w:bottom w:val="single" w:sz="8" w:space="0" w:color="auto"/>
              <w:right w:val="single" w:sz="8" w:space="0" w:color="auto"/>
            </w:tcBorders>
            <w:shd w:val="clear" w:color="000000" w:fill="BFBFBF"/>
            <w:vAlign w:val="center"/>
            <w:hideMark/>
          </w:tcPr>
          <w:p w14:paraId="0FC8A108" w14:textId="77777777" w:rsidR="00E04CB2" w:rsidRPr="00107158" w:rsidRDefault="00E04CB2">
            <w:pPr>
              <w:spacing w:after="0"/>
              <w:jc w:val="right"/>
              <w:rPr>
                <w:rFonts w:cs="Arial"/>
                <w:lang w:eastAsia="en-GB"/>
              </w:rPr>
            </w:pPr>
            <w:r w:rsidRPr="00107158">
              <w:rPr>
                <w:rFonts w:cs="Arial"/>
                <w:lang w:eastAsia="en-GB"/>
              </w:rPr>
              <w:t> </w:t>
            </w:r>
          </w:p>
        </w:tc>
      </w:tr>
      <w:tr w:rsidR="00E04CB2" w:rsidRPr="00CD4BC8" w14:paraId="18E2C8BD" w14:textId="77777777">
        <w:trPr>
          <w:trHeight w:val="295"/>
        </w:trPr>
        <w:tc>
          <w:tcPr>
            <w:tcW w:w="4489" w:type="dxa"/>
            <w:tcBorders>
              <w:top w:val="nil"/>
              <w:left w:val="single" w:sz="8" w:space="0" w:color="auto"/>
              <w:right w:val="single" w:sz="8" w:space="0" w:color="auto"/>
            </w:tcBorders>
            <w:shd w:val="clear" w:color="auto" w:fill="auto"/>
            <w:vAlign w:val="center"/>
          </w:tcPr>
          <w:p w14:paraId="2039C917" w14:textId="77777777" w:rsidR="00E04CB2" w:rsidRPr="00107158" w:rsidRDefault="00E04CB2">
            <w:pPr>
              <w:spacing w:after="0"/>
              <w:rPr>
                <w:rFonts w:cs="Arial"/>
                <w:lang w:eastAsia="en-GB"/>
              </w:rPr>
            </w:pPr>
          </w:p>
        </w:tc>
        <w:tc>
          <w:tcPr>
            <w:tcW w:w="1163" w:type="dxa"/>
            <w:tcBorders>
              <w:top w:val="nil"/>
              <w:left w:val="nil"/>
              <w:right w:val="single" w:sz="8" w:space="0" w:color="auto"/>
            </w:tcBorders>
            <w:shd w:val="clear" w:color="auto" w:fill="auto"/>
            <w:vAlign w:val="center"/>
          </w:tcPr>
          <w:p w14:paraId="63E42908" w14:textId="77777777" w:rsidR="00E04CB2" w:rsidRPr="00107158" w:rsidRDefault="00E04CB2">
            <w:pPr>
              <w:spacing w:after="0"/>
              <w:jc w:val="right"/>
              <w:rPr>
                <w:rFonts w:cs="Arial"/>
                <w:lang w:eastAsia="en-GB"/>
              </w:rPr>
            </w:pPr>
          </w:p>
        </w:tc>
        <w:tc>
          <w:tcPr>
            <w:tcW w:w="1163" w:type="dxa"/>
            <w:tcBorders>
              <w:top w:val="nil"/>
              <w:left w:val="nil"/>
              <w:right w:val="single" w:sz="8" w:space="0" w:color="auto"/>
            </w:tcBorders>
            <w:shd w:val="clear" w:color="auto" w:fill="auto"/>
            <w:vAlign w:val="center"/>
          </w:tcPr>
          <w:p w14:paraId="43070228" w14:textId="77777777" w:rsidR="00E04CB2" w:rsidRPr="00107158" w:rsidRDefault="00E04CB2">
            <w:pPr>
              <w:spacing w:after="0"/>
              <w:jc w:val="right"/>
              <w:rPr>
                <w:rFonts w:cs="Arial"/>
                <w:lang w:eastAsia="en-GB"/>
              </w:rPr>
            </w:pPr>
          </w:p>
        </w:tc>
        <w:tc>
          <w:tcPr>
            <w:tcW w:w="1163" w:type="dxa"/>
            <w:tcBorders>
              <w:top w:val="nil"/>
              <w:left w:val="nil"/>
              <w:right w:val="single" w:sz="8" w:space="0" w:color="auto"/>
            </w:tcBorders>
            <w:shd w:val="clear" w:color="auto" w:fill="auto"/>
            <w:vAlign w:val="center"/>
          </w:tcPr>
          <w:p w14:paraId="7EEA81BC" w14:textId="77777777" w:rsidR="00E04CB2" w:rsidRPr="00107158" w:rsidRDefault="00E04CB2">
            <w:pPr>
              <w:spacing w:after="0"/>
              <w:jc w:val="right"/>
              <w:rPr>
                <w:rFonts w:cs="Arial"/>
                <w:lang w:eastAsia="en-GB"/>
              </w:rPr>
            </w:pPr>
          </w:p>
        </w:tc>
        <w:tc>
          <w:tcPr>
            <w:tcW w:w="1084" w:type="dxa"/>
            <w:tcBorders>
              <w:top w:val="nil"/>
              <w:left w:val="nil"/>
              <w:right w:val="single" w:sz="8" w:space="0" w:color="auto"/>
            </w:tcBorders>
            <w:shd w:val="clear" w:color="auto" w:fill="auto"/>
            <w:vAlign w:val="center"/>
          </w:tcPr>
          <w:p w14:paraId="057FF4E6" w14:textId="77777777" w:rsidR="00E04CB2" w:rsidRPr="00107158" w:rsidRDefault="00E04CB2">
            <w:pPr>
              <w:spacing w:after="0"/>
              <w:jc w:val="right"/>
              <w:rPr>
                <w:rFonts w:cs="Arial"/>
                <w:lang w:eastAsia="en-GB"/>
              </w:rPr>
            </w:pPr>
          </w:p>
        </w:tc>
      </w:tr>
      <w:tr w:rsidR="00E04CB2" w:rsidRPr="00CD4BC8" w14:paraId="6E8B92EC" w14:textId="77777777">
        <w:trPr>
          <w:trHeight w:val="334"/>
        </w:trPr>
        <w:tc>
          <w:tcPr>
            <w:tcW w:w="4489" w:type="dxa"/>
            <w:tcBorders>
              <w:top w:val="nil"/>
              <w:left w:val="single" w:sz="8" w:space="0" w:color="auto"/>
              <w:right w:val="single" w:sz="8" w:space="0" w:color="auto"/>
            </w:tcBorders>
            <w:shd w:val="clear" w:color="auto" w:fill="auto"/>
            <w:vAlign w:val="center"/>
            <w:hideMark/>
          </w:tcPr>
          <w:p w14:paraId="4F3BC271" w14:textId="77777777" w:rsidR="00E04CB2" w:rsidRPr="00107158" w:rsidRDefault="00E04CB2">
            <w:pPr>
              <w:spacing w:after="0"/>
              <w:rPr>
                <w:rFonts w:cs="Arial"/>
                <w:lang w:eastAsia="en-GB"/>
              </w:rPr>
            </w:pPr>
            <w:r w:rsidRPr="00107158">
              <w:rPr>
                <w:rFonts w:cs="Arial"/>
                <w:lang w:eastAsia="en-GB"/>
              </w:rPr>
              <w:t>Funding</w:t>
            </w:r>
            <w:r>
              <w:rPr>
                <w:rFonts w:cs="Arial"/>
                <w:lang w:eastAsia="en-GB"/>
              </w:rPr>
              <w:t xml:space="preserve"> – Tax Base</w:t>
            </w:r>
          </w:p>
        </w:tc>
        <w:tc>
          <w:tcPr>
            <w:tcW w:w="1163" w:type="dxa"/>
            <w:tcBorders>
              <w:top w:val="nil"/>
              <w:left w:val="nil"/>
              <w:right w:val="single" w:sz="8" w:space="0" w:color="auto"/>
            </w:tcBorders>
            <w:shd w:val="clear" w:color="auto" w:fill="auto"/>
            <w:vAlign w:val="center"/>
          </w:tcPr>
          <w:p w14:paraId="429F4357" w14:textId="53CD3B74" w:rsidR="00E04CB2" w:rsidRPr="00107158" w:rsidRDefault="00E04CB2">
            <w:pPr>
              <w:spacing w:after="0"/>
              <w:jc w:val="right"/>
              <w:rPr>
                <w:rFonts w:cs="Arial"/>
                <w:lang w:eastAsia="en-GB"/>
              </w:rPr>
            </w:pPr>
            <w:r>
              <w:rPr>
                <w:rFonts w:cs="Arial"/>
                <w:lang w:eastAsia="en-GB"/>
              </w:rPr>
              <w:t>-0.339</w:t>
            </w:r>
          </w:p>
        </w:tc>
        <w:tc>
          <w:tcPr>
            <w:tcW w:w="1163" w:type="dxa"/>
            <w:tcBorders>
              <w:top w:val="nil"/>
              <w:left w:val="nil"/>
              <w:right w:val="single" w:sz="8" w:space="0" w:color="auto"/>
            </w:tcBorders>
            <w:shd w:val="clear" w:color="auto" w:fill="auto"/>
            <w:vAlign w:val="center"/>
          </w:tcPr>
          <w:p w14:paraId="72E735B9" w14:textId="26A5CAC0" w:rsidR="00E04CB2" w:rsidRPr="00107158" w:rsidRDefault="00E04CB2">
            <w:pPr>
              <w:spacing w:after="0"/>
              <w:jc w:val="right"/>
              <w:rPr>
                <w:rFonts w:cs="Arial"/>
                <w:lang w:eastAsia="en-GB"/>
              </w:rPr>
            </w:pPr>
            <w:r>
              <w:rPr>
                <w:rFonts w:cs="Arial"/>
                <w:lang w:eastAsia="en-GB"/>
              </w:rPr>
              <w:t>-0.362</w:t>
            </w:r>
          </w:p>
        </w:tc>
        <w:tc>
          <w:tcPr>
            <w:tcW w:w="1163" w:type="dxa"/>
            <w:tcBorders>
              <w:top w:val="nil"/>
              <w:left w:val="nil"/>
              <w:right w:val="single" w:sz="8" w:space="0" w:color="auto"/>
            </w:tcBorders>
            <w:shd w:val="clear" w:color="auto" w:fill="auto"/>
            <w:vAlign w:val="center"/>
          </w:tcPr>
          <w:p w14:paraId="2B04E13C" w14:textId="6A313630" w:rsidR="00E04CB2" w:rsidRPr="00107158" w:rsidRDefault="00E04CB2">
            <w:pPr>
              <w:spacing w:after="0"/>
              <w:jc w:val="right"/>
              <w:rPr>
                <w:rFonts w:cs="Arial"/>
                <w:lang w:eastAsia="en-GB"/>
              </w:rPr>
            </w:pPr>
            <w:r>
              <w:rPr>
                <w:rFonts w:cs="Arial"/>
                <w:lang w:eastAsia="en-GB"/>
              </w:rPr>
              <w:t>-0.378</w:t>
            </w:r>
          </w:p>
        </w:tc>
        <w:tc>
          <w:tcPr>
            <w:tcW w:w="1084" w:type="dxa"/>
            <w:tcBorders>
              <w:top w:val="nil"/>
              <w:left w:val="nil"/>
              <w:right w:val="single" w:sz="8" w:space="0" w:color="auto"/>
            </w:tcBorders>
            <w:shd w:val="clear" w:color="auto" w:fill="auto"/>
            <w:vAlign w:val="center"/>
          </w:tcPr>
          <w:p w14:paraId="75418B58" w14:textId="25F136F5" w:rsidR="00E04CB2" w:rsidRPr="00107158" w:rsidRDefault="00E04CB2">
            <w:pPr>
              <w:spacing w:after="0"/>
              <w:jc w:val="right"/>
              <w:rPr>
                <w:rFonts w:cs="Arial"/>
                <w:lang w:eastAsia="en-GB"/>
              </w:rPr>
            </w:pPr>
            <w:r>
              <w:rPr>
                <w:rFonts w:cs="Arial"/>
                <w:lang w:eastAsia="en-GB"/>
              </w:rPr>
              <w:t>-0.396</w:t>
            </w:r>
          </w:p>
        </w:tc>
      </w:tr>
      <w:tr w:rsidR="00E04CB2" w:rsidRPr="00CD4BC8" w14:paraId="60D196B2" w14:textId="77777777">
        <w:trPr>
          <w:trHeight w:val="309"/>
        </w:trPr>
        <w:tc>
          <w:tcPr>
            <w:tcW w:w="4489" w:type="dxa"/>
            <w:tcBorders>
              <w:top w:val="nil"/>
              <w:left w:val="single" w:sz="8" w:space="0" w:color="auto"/>
              <w:bottom w:val="single" w:sz="8" w:space="0" w:color="auto"/>
              <w:right w:val="single" w:sz="8" w:space="0" w:color="auto"/>
            </w:tcBorders>
            <w:shd w:val="clear" w:color="auto" w:fill="auto"/>
            <w:vAlign w:val="center"/>
            <w:hideMark/>
          </w:tcPr>
          <w:p w14:paraId="7B904D8F" w14:textId="77777777" w:rsidR="00E04CB2" w:rsidRPr="00107158" w:rsidRDefault="00E04CB2">
            <w:pPr>
              <w:spacing w:after="0"/>
              <w:rPr>
                <w:rFonts w:cs="Arial"/>
                <w:lang w:eastAsia="en-GB"/>
              </w:rPr>
            </w:pPr>
            <w:r w:rsidRPr="00107158">
              <w:rPr>
                <w:rFonts w:cs="Arial"/>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69FC6174" w14:textId="77777777" w:rsidR="00E04CB2" w:rsidRPr="00107158" w:rsidRDefault="00E04CB2">
            <w:pPr>
              <w:spacing w:after="0"/>
              <w:jc w:val="right"/>
              <w:rPr>
                <w:rFonts w:cs="Arial"/>
                <w:b/>
                <w:bCs/>
                <w:lang w:eastAsia="en-GB"/>
              </w:rPr>
            </w:pPr>
            <w:r w:rsidRPr="00107158">
              <w:rPr>
                <w:rFonts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12339EBF" w14:textId="77777777" w:rsidR="00E04CB2" w:rsidRPr="00107158" w:rsidRDefault="00E04CB2">
            <w:pPr>
              <w:spacing w:after="0"/>
              <w:jc w:val="right"/>
              <w:rPr>
                <w:rFonts w:cs="Arial"/>
                <w:b/>
                <w:bCs/>
                <w:lang w:eastAsia="en-GB"/>
              </w:rPr>
            </w:pPr>
            <w:r w:rsidRPr="00107158">
              <w:rPr>
                <w:rFonts w:cs="Arial"/>
                <w:b/>
                <w:bCs/>
                <w:lang w:eastAsia="en-GB"/>
              </w:rPr>
              <w:t> </w:t>
            </w:r>
          </w:p>
        </w:tc>
        <w:tc>
          <w:tcPr>
            <w:tcW w:w="1163" w:type="dxa"/>
            <w:tcBorders>
              <w:top w:val="nil"/>
              <w:left w:val="nil"/>
              <w:bottom w:val="single" w:sz="8" w:space="0" w:color="auto"/>
              <w:right w:val="single" w:sz="8" w:space="0" w:color="auto"/>
            </w:tcBorders>
            <w:shd w:val="clear" w:color="auto" w:fill="auto"/>
            <w:vAlign w:val="center"/>
            <w:hideMark/>
          </w:tcPr>
          <w:p w14:paraId="615DC5AC" w14:textId="77777777" w:rsidR="00E04CB2" w:rsidRPr="00107158" w:rsidRDefault="00E04CB2">
            <w:pPr>
              <w:spacing w:after="0"/>
              <w:jc w:val="right"/>
              <w:rPr>
                <w:rFonts w:cs="Arial"/>
                <w:b/>
                <w:bCs/>
                <w:lang w:eastAsia="en-GB"/>
              </w:rPr>
            </w:pPr>
            <w:r w:rsidRPr="00107158">
              <w:rPr>
                <w:rFonts w:cs="Arial"/>
                <w:b/>
                <w:bCs/>
                <w:lang w:eastAsia="en-GB"/>
              </w:rPr>
              <w:t> </w:t>
            </w:r>
          </w:p>
        </w:tc>
        <w:tc>
          <w:tcPr>
            <w:tcW w:w="1084" w:type="dxa"/>
            <w:tcBorders>
              <w:top w:val="nil"/>
              <w:left w:val="nil"/>
              <w:bottom w:val="single" w:sz="8" w:space="0" w:color="auto"/>
              <w:right w:val="single" w:sz="8" w:space="0" w:color="auto"/>
            </w:tcBorders>
            <w:shd w:val="clear" w:color="auto" w:fill="auto"/>
            <w:vAlign w:val="center"/>
            <w:hideMark/>
          </w:tcPr>
          <w:p w14:paraId="657551D7" w14:textId="77777777" w:rsidR="00E04CB2" w:rsidRPr="00107158" w:rsidRDefault="00E04CB2">
            <w:pPr>
              <w:spacing w:after="0"/>
              <w:jc w:val="right"/>
              <w:rPr>
                <w:rFonts w:cs="Arial"/>
                <w:b/>
                <w:bCs/>
                <w:lang w:eastAsia="en-GB"/>
              </w:rPr>
            </w:pPr>
            <w:r w:rsidRPr="00107158">
              <w:rPr>
                <w:rFonts w:cs="Arial"/>
                <w:b/>
                <w:bCs/>
                <w:lang w:eastAsia="en-GB"/>
              </w:rPr>
              <w:t> </w:t>
            </w:r>
          </w:p>
        </w:tc>
      </w:tr>
      <w:tr w:rsidR="00E04CB2" w:rsidRPr="00CD4BC8" w14:paraId="0F4E5703" w14:textId="77777777">
        <w:trPr>
          <w:trHeight w:val="309"/>
        </w:trPr>
        <w:tc>
          <w:tcPr>
            <w:tcW w:w="4489" w:type="dxa"/>
            <w:tcBorders>
              <w:top w:val="nil"/>
              <w:left w:val="single" w:sz="8" w:space="0" w:color="auto"/>
              <w:bottom w:val="single" w:sz="8" w:space="0" w:color="auto"/>
              <w:right w:val="single" w:sz="8" w:space="0" w:color="auto"/>
            </w:tcBorders>
            <w:shd w:val="clear" w:color="000000" w:fill="BFBFBF"/>
            <w:vAlign w:val="center"/>
            <w:hideMark/>
          </w:tcPr>
          <w:p w14:paraId="638F1296" w14:textId="77777777" w:rsidR="00E04CB2" w:rsidRPr="00107158" w:rsidRDefault="00E04CB2">
            <w:pPr>
              <w:spacing w:after="0"/>
              <w:rPr>
                <w:rFonts w:cs="Arial"/>
                <w:b/>
                <w:bCs/>
                <w:lang w:eastAsia="en-GB"/>
              </w:rPr>
            </w:pPr>
            <w:r w:rsidRPr="00107158">
              <w:rPr>
                <w:rFonts w:cs="Arial"/>
                <w:b/>
                <w:bCs/>
                <w:lang w:eastAsia="en-GB"/>
              </w:rPr>
              <w:t>Forecast Budget Gap – Quarter 3</w:t>
            </w:r>
            <w:r>
              <w:rPr>
                <w:rFonts w:cs="Arial"/>
                <w:b/>
                <w:bCs/>
                <w:lang w:eastAsia="en-GB"/>
              </w:rPr>
              <w:t xml:space="preserve"> (updated)</w:t>
            </w:r>
          </w:p>
        </w:tc>
        <w:tc>
          <w:tcPr>
            <w:tcW w:w="1163" w:type="dxa"/>
            <w:tcBorders>
              <w:top w:val="nil"/>
              <w:left w:val="nil"/>
              <w:bottom w:val="single" w:sz="8" w:space="0" w:color="auto"/>
              <w:right w:val="single" w:sz="8" w:space="0" w:color="auto"/>
            </w:tcBorders>
            <w:shd w:val="clear" w:color="000000" w:fill="D9D9D9"/>
            <w:vAlign w:val="center"/>
          </w:tcPr>
          <w:p w14:paraId="02C9023A" w14:textId="783865B2" w:rsidR="00E04CB2" w:rsidRPr="00107158" w:rsidRDefault="00E04CB2">
            <w:pPr>
              <w:spacing w:after="0"/>
              <w:jc w:val="right"/>
              <w:rPr>
                <w:rFonts w:cs="Arial"/>
                <w:b/>
                <w:bCs/>
                <w:lang w:eastAsia="en-GB"/>
              </w:rPr>
            </w:pPr>
            <w:r>
              <w:rPr>
                <w:rFonts w:cs="Arial"/>
                <w:b/>
                <w:bCs/>
                <w:lang w:eastAsia="en-GB"/>
              </w:rPr>
              <w:t>9.162</w:t>
            </w:r>
          </w:p>
        </w:tc>
        <w:tc>
          <w:tcPr>
            <w:tcW w:w="1163" w:type="dxa"/>
            <w:tcBorders>
              <w:top w:val="nil"/>
              <w:left w:val="nil"/>
              <w:bottom w:val="single" w:sz="8" w:space="0" w:color="auto"/>
              <w:right w:val="single" w:sz="8" w:space="0" w:color="auto"/>
            </w:tcBorders>
            <w:shd w:val="clear" w:color="000000" w:fill="D9D9D9"/>
            <w:vAlign w:val="center"/>
          </w:tcPr>
          <w:p w14:paraId="7467169A" w14:textId="034D4470" w:rsidR="00E04CB2" w:rsidRPr="00107158" w:rsidRDefault="00E04CB2">
            <w:pPr>
              <w:spacing w:after="0"/>
              <w:jc w:val="right"/>
              <w:rPr>
                <w:rFonts w:cs="Arial"/>
                <w:b/>
                <w:bCs/>
                <w:lang w:eastAsia="en-GB"/>
              </w:rPr>
            </w:pPr>
            <w:r>
              <w:rPr>
                <w:rFonts w:cs="Arial"/>
                <w:b/>
                <w:bCs/>
                <w:lang w:eastAsia="en-GB"/>
              </w:rPr>
              <w:t>-8.325</w:t>
            </w:r>
          </w:p>
        </w:tc>
        <w:tc>
          <w:tcPr>
            <w:tcW w:w="1163" w:type="dxa"/>
            <w:tcBorders>
              <w:top w:val="nil"/>
              <w:left w:val="nil"/>
              <w:bottom w:val="single" w:sz="8" w:space="0" w:color="auto"/>
              <w:right w:val="single" w:sz="8" w:space="0" w:color="auto"/>
            </w:tcBorders>
            <w:shd w:val="clear" w:color="000000" w:fill="D9D9D9"/>
            <w:vAlign w:val="center"/>
          </w:tcPr>
          <w:p w14:paraId="31DB003E" w14:textId="62812C5A" w:rsidR="00E04CB2" w:rsidRPr="00107158" w:rsidRDefault="00E04CB2">
            <w:pPr>
              <w:spacing w:after="0"/>
              <w:jc w:val="right"/>
              <w:rPr>
                <w:rFonts w:cs="Arial"/>
                <w:b/>
                <w:bCs/>
                <w:lang w:eastAsia="en-GB"/>
              </w:rPr>
            </w:pPr>
            <w:r>
              <w:rPr>
                <w:rFonts w:cs="Arial"/>
                <w:b/>
                <w:bCs/>
                <w:lang w:eastAsia="en-GB"/>
              </w:rPr>
              <w:t>10.601</w:t>
            </w:r>
          </w:p>
        </w:tc>
        <w:tc>
          <w:tcPr>
            <w:tcW w:w="1084" w:type="dxa"/>
            <w:tcBorders>
              <w:top w:val="nil"/>
              <w:left w:val="nil"/>
              <w:bottom w:val="single" w:sz="8" w:space="0" w:color="auto"/>
              <w:right w:val="single" w:sz="8" w:space="0" w:color="auto"/>
            </w:tcBorders>
            <w:shd w:val="clear" w:color="000000" w:fill="D9D9D9"/>
            <w:vAlign w:val="center"/>
          </w:tcPr>
          <w:p w14:paraId="39A52377" w14:textId="7FDF1C3F" w:rsidR="00E04CB2" w:rsidRPr="00107158" w:rsidRDefault="00E04CB2">
            <w:pPr>
              <w:spacing w:after="0"/>
              <w:jc w:val="right"/>
              <w:rPr>
                <w:rFonts w:cs="Arial"/>
                <w:b/>
                <w:bCs/>
                <w:lang w:eastAsia="en-GB"/>
              </w:rPr>
            </w:pPr>
            <w:r>
              <w:rPr>
                <w:rFonts w:cs="Arial"/>
                <w:b/>
                <w:bCs/>
                <w:lang w:eastAsia="en-GB"/>
              </w:rPr>
              <w:t>22.890</w:t>
            </w:r>
          </w:p>
        </w:tc>
      </w:tr>
    </w:tbl>
    <w:p w14:paraId="4B6CCC34" w14:textId="45046311" w:rsidR="00E04CB2" w:rsidRDefault="00E04CB2" w:rsidP="00E04CB2">
      <w:pPr>
        <w:spacing w:after="0"/>
        <w:rPr>
          <w:rFonts w:cs="Arial"/>
          <w:b/>
          <w:i/>
          <w:iCs/>
          <w:szCs w:val="24"/>
          <w:u w:val="single"/>
        </w:rPr>
      </w:pPr>
    </w:p>
    <w:p w14:paraId="545952AC" w14:textId="01C585FA" w:rsidR="00E04CB2" w:rsidRDefault="00E04CB2" w:rsidP="00E04CB2">
      <w:pPr>
        <w:spacing w:after="0"/>
        <w:rPr>
          <w:rFonts w:cs="Arial"/>
          <w:b/>
          <w:i/>
          <w:iCs/>
          <w:szCs w:val="24"/>
          <w:u w:val="single"/>
        </w:rPr>
      </w:pPr>
    </w:p>
    <w:p w14:paraId="11B1741B" w14:textId="5FBFF0B2" w:rsidR="00E04CB2" w:rsidRDefault="00E04CB2" w:rsidP="00E04CB2">
      <w:pPr>
        <w:spacing w:after="0"/>
        <w:rPr>
          <w:rFonts w:cs="Arial"/>
          <w:b/>
          <w:i/>
          <w:iCs/>
          <w:szCs w:val="24"/>
          <w:u w:val="single"/>
        </w:rPr>
      </w:pPr>
    </w:p>
    <w:p w14:paraId="6181D90B" w14:textId="4D7068EA" w:rsidR="00E04CB2" w:rsidRDefault="00E04CB2" w:rsidP="00E04CB2">
      <w:pPr>
        <w:spacing w:after="0"/>
        <w:rPr>
          <w:rFonts w:cs="Arial"/>
          <w:b/>
          <w:i/>
          <w:iCs/>
          <w:szCs w:val="24"/>
          <w:u w:val="single"/>
        </w:rPr>
      </w:pPr>
    </w:p>
    <w:p w14:paraId="6C75C4C1" w14:textId="7D0A0197" w:rsidR="00E04CB2" w:rsidRDefault="00E04CB2" w:rsidP="00E04CB2">
      <w:pPr>
        <w:spacing w:after="0"/>
        <w:rPr>
          <w:rFonts w:cs="Arial"/>
          <w:b/>
          <w:i/>
          <w:iCs/>
          <w:szCs w:val="24"/>
          <w:u w:val="single"/>
        </w:rPr>
      </w:pPr>
    </w:p>
    <w:p w14:paraId="03EC0A33" w14:textId="11500240" w:rsidR="00E04CB2" w:rsidRDefault="00E04CB2" w:rsidP="00E04CB2">
      <w:pPr>
        <w:spacing w:after="0"/>
        <w:rPr>
          <w:rFonts w:cs="Arial"/>
          <w:b/>
          <w:i/>
          <w:iCs/>
          <w:szCs w:val="24"/>
          <w:u w:val="single"/>
        </w:rPr>
      </w:pPr>
    </w:p>
    <w:p w14:paraId="4572FBCF" w14:textId="673314A1" w:rsidR="00E04CB2" w:rsidRDefault="00E04CB2" w:rsidP="00E04CB2">
      <w:pPr>
        <w:spacing w:after="0"/>
        <w:rPr>
          <w:rFonts w:cs="Arial"/>
          <w:b/>
          <w:i/>
          <w:iCs/>
          <w:szCs w:val="24"/>
          <w:u w:val="single"/>
        </w:rPr>
      </w:pPr>
    </w:p>
    <w:p w14:paraId="2DAB5BED" w14:textId="21F25B1B" w:rsidR="00E04CB2" w:rsidRDefault="00E04CB2" w:rsidP="00E04CB2">
      <w:pPr>
        <w:spacing w:after="0"/>
        <w:rPr>
          <w:rFonts w:cs="Arial"/>
          <w:b/>
          <w:i/>
          <w:iCs/>
          <w:szCs w:val="24"/>
          <w:u w:val="single"/>
        </w:rPr>
      </w:pPr>
    </w:p>
    <w:p w14:paraId="699DE3A3" w14:textId="6932D355" w:rsidR="00E04CB2" w:rsidRDefault="00E04CB2" w:rsidP="00E04CB2">
      <w:pPr>
        <w:spacing w:after="0"/>
        <w:rPr>
          <w:rFonts w:cs="Arial"/>
          <w:b/>
          <w:i/>
          <w:iCs/>
          <w:szCs w:val="24"/>
          <w:u w:val="single"/>
        </w:rPr>
      </w:pPr>
    </w:p>
    <w:p w14:paraId="5DE24C07" w14:textId="4D8B94D0" w:rsidR="00E04CB2" w:rsidRDefault="00E04CB2" w:rsidP="00E04CB2">
      <w:pPr>
        <w:spacing w:after="0"/>
        <w:rPr>
          <w:rFonts w:cs="Arial"/>
          <w:b/>
          <w:i/>
          <w:iCs/>
          <w:szCs w:val="24"/>
          <w:u w:val="single"/>
        </w:rPr>
      </w:pPr>
    </w:p>
    <w:p w14:paraId="7ED8DB75" w14:textId="606806EC" w:rsidR="00E04CB2" w:rsidRDefault="00E04CB2" w:rsidP="00E04CB2">
      <w:pPr>
        <w:spacing w:after="0"/>
        <w:rPr>
          <w:rFonts w:cs="Arial"/>
          <w:b/>
          <w:i/>
          <w:iCs/>
          <w:szCs w:val="24"/>
          <w:u w:val="single"/>
        </w:rPr>
      </w:pPr>
    </w:p>
    <w:p w14:paraId="11DE6979" w14:textId="1C81035A" w:rsidR="00E04CB2" w:rsidRDefault="00E04CB2" w:rsidP="00E04CB2">
      <w:pPr>
        <w:spacing w:after="0"/>
        <w:rPr>
          <w:rFonts w:cs="Arial"/>
          <w:b/>
          <w:i/>
          <w:iCs/>
          <w:szCs w:val="24"/>
          <w:u w:val="single"/>
        </w:rPr>
      </w:pPr>
    </w:p>
    <w:p w14:paraId="1C6A569C" w14:textId="36895A04" w:rsidR="00E04CB2" w:rsidRDefault="00E04CB2" w:rsidP="00E04CB2">
      <w:pPr>
        <w:spacing w:after="0"/>
        <w:rPr>
          <w:rFonts w:cs="Arial"/>
          <w:b/>
          <w:i/>
          <w:iCs/>
          <w:szCs w:val="24"/>
          <w:u w:val="single"/>
        </w:rPr>
      </w:pPr>
    </w:p>
    <w:p w14:paraId="4E4F1FE6" w14:textId="4C87893B" w:rsidR="00E04CB2" w:rsidRDefault="00E04CB2" w:rsidP="00E04CB2">
      <w:pPr>
        <w:spacing w:after="0"/>
        <w:rPr>
          <w:rFonts w:cs="Arial"/>
          <w:b/>
          <w:i/>
          <w:iCs/>
          <w:szCs w:val="24"/>
          <w:u w:val="single"/>
        </w:rPr>
      </w:pPr>
    </w:p>
    <w:p w14:paraId="06A86BA3" w14:textId="0635FF78" w:rsidR="00E04CB2" w:rsidRDefault="00E04CB2" w:rsidP="00E04CB2">
      <w:pPr>
        <w:spacing w:after="0"/>
        <w:rPr>
          <w:rFonts w:cs="Arial"/>
          <w:b/>
          <w:i/>
          <w:iCs/>
          <w:szCs w:val="24"/>
          <w:u w:val="single"/>
        </w:rPr>
      </w:pPr>
    </w:p>
    <w:p w14:paraId="60965B5C" w14:textId="033BBE2E" w:rsidR="00E04CB2" w:rsidRDefault="00E04CB2" w:rsidP="00E04CB2">
      <w:pPr>
        <w:spacing w:after="0"/>
        <w:rPr>
          <w:rFonts w:cs="Arial"/>
          <w:b/>
          <w:i/>
          <w:iCs/>
          <w:szCs w:val="24"/>
          <w:u w:val="single"/>
        </w:rPr>
      </w:pPr>
    </w:p>
    <w:p w14:paraId="25FB9173" w14:textId="3F07BF19" w:rsidR="00E04CB2" w:rsidRDefault="00E04CB2" w:rsidP="00E04CB2">
      <w:pPr>
        <w:spacing w:after="0"/>
        <w:rPr>
          <w:rFonts w:cs="Arial"/>
          <w:b/>
          <w:i/>
          <w:iCs/>
          <w:szCs w:val="24"/>
          <w:u w:val="single"/>
        </w:rPr>
      </w:pPr>
    </w:p>
    <w:p w14:paraId="273AF627" w14:textId="1C02085E" w:rsidR="00E04CB2" w:rsidRDefault="00E04CB2" w:rsidP="00E04CB2">
      <w:pPr>
        <w:spacing w:after="0"/>
        <w:rPr>
          <w:rFonts w:cs="Arial"/>
          <w:b/>
          <w:i/>
          <w:iCs/>
          <w:szCs w:val="24"/>
          <w:u w:val="single"/>
        </w:rPr>
      </w:pPr>
    </w:p>
    <w:p w14:paraId="1507BB98" w14:textId="77777777" w:rsidR="00E04CB2" w:rsidRDefault="00E04CB2" w:rsidP="00E04CB2">
      <w:pPr>
        <w:spacing w:after="0"/>
        <w:rPr>
          <w:rFonts w:cs="Arial"/>
          <w:b/>
          <w:i/>
          <w:iCs/>
          <w:szCs w:val="24"/>
          <w:u w:val="single"/>
        </w:rPr>
      </w:pPr>
    </w:p>
    <w:p w14:paraId="275BFE30" w14:textId="284ABBCA" w:rsidR="00E04CB2" w:rsidRPr="00DA6A97" w:rsidRDefault="005A2610" w:rsidP="00E04CB2">
      <w:pPr>
        <w:spacing w:after="0"/>
        <w:jc w:val="both"/>
        <w:rPr>
          <w:rFonts w:cs="Arial"/>
          <w:b/>
          <w:bCs/>
          <w:i/>
          <w:szCs w:val="24"/>
        </w:rPr>
      </w:pPr>
      <w:r>
        <w:rPr>
          <w:rFonts w:cs="Arial"/>
          <w:b/>
          <w:bCs/>
          <w:i/>
          <w:szCs w:val="24"/>
        </w:rPr>
        <w:t>2.1</w:t>
      </w:r>
      <w:r w:rsidR="00E04CB2" w:rsidRPr="00DA6A97">
        <w:rPr>
          <w:rFonts w:cs="Arial"/>
          <w:b/>
          <w:bCs/>
          <w:i/>
          <w:szCs w:val="24"/>
        </w:rPr>
        <w:t xml:space="preserve"> Revenue Budgets for Services in 2023/24</w:t>
      </w:r>
    </w:p>
    <w:p w14:paraId="0F333D33" w14:textId="77777777" w:rsidR="00E04CB2" w:rsidRPr="00DA6A97" w:rsidRDefault="00E04CB2" w:rsidP="00E04CB2">
      <w:pPr>
        <w:spacing w:after="0"/>
        <w:jc w:val="both"/>
        <w:rPr>
          <w:rFonts w:cs="Arial"/>
          <w:i/>
          <w:szCs w:val="24"/>
        </w:rPr>
      </w:pPr>
    </w:p>
    <w:p w14:paraId="3BBF8520" w14:textId="172B3F4C" w:rsidR="00E04CB2" w:rsidRPr="00DA6A97" w:rsidRDefault="00E04CB2" w:rsidP="00E04CB2">
      <w:pPr>
        <w:spacing w:after="0"/>
        <w:jc w:val="both"/>
        <w:rPr>
          <w:rFonts w:cs="Arial"/>
          <w:szCs w:val="24"/>
        </w:rPr>
      </w:pPr>
      <w:r w:rsidRPr="00DA6A97">
        <w:rPr>
          <w:rFonts w:cs="Arial"/>
          <w:szCs w:val="24"/>
        </w:rPr>
        <w:t>The budget outlined below results in a net revenue budget of £</w:t>
      </w:r>
      <w:r>
        <w:rPr>
          <w:rFonts w:cs="Arial"/>
          <w:szCs w:val="24"/>
        </w:rPr>
        <w:t>1,035.977</w:t>
      </w:r>
      <w:r w:rsidR="00AE061D">
        <w:rPr>
          <w:rFonts w:cs="Arial"/>
          <w:szCs w:val="24"/>
        </w:rPr>
        <w:t>m</w:t>
      </w:r>
      <w:r w:rsidRPr="00DA6A97">
        <w:rPr>
          <w:rFonts w:cs="Arial"/>
          <w:szCs w:val="24"/>
        </w:rPr>
        <w:t>. The budget by service is summarised below:</w:t>
      </w:r>
    </w:p>
    <w:p w14:paraId="3D62EDEC" w14:textId="77777777" w:rsidR="00E04CB2" w:rsidRPr="008B4A55" w:rsidRDefault="00E04CB2" w:rsidP="00E04CB2">
      <w:pPr>
        <w:spacing w:after="0"/>
        <w:jc w:val="both"/>
        <w:rPr>
          <w:rFonts w:cs="Arial"/>
          <w:szCs w:val="24"/>
          <w:highlight w:val="yellow"/>
        </w:rPr>
      </w:pPr>
    </w:p>
    <w:p w14:paraId="174E53A6" w14:textId="3DBA09F5" w:rsidR="00E04CB2" w:rsidRDefault="00E04CB2" w:rsidP="00E04CB2">
      <w:pPr>
        <w:rPr>
          <w:rFonts w:cs="Arial"/>
          <w:b/>
          <w:i/>
          <w:iCs/>
          <w:szCs w:val="24"/>
          <w:u w:val="single"/>
        </w:rPr>
      </w:pPr>
      <w:r w:rsidRPr="00DA6A97">
        <w:rPr>
          <w:rFonts w:cs="Arial"/>
          <w:b/>
          <w:i/>
          <w:iCs/>
          <w:szCs w:val="24"/>
          <w:u w:val="single"/>
        </w:rPr>
        <w:t xml:space="preserve">Table </w:t>
      </w:r>
      <w:r w:rsidR="00403E25">
        <w:rPr>
          <w:rFonts w:cs="Arial"/>
          <w:b/>
          <w:i/>
          <w:iCs/>
          <w:szCs w:val="24"/>
          <w:u w:val="single"/>
        </w:rPr>
        <w:t>2</w:t>
      </w:r>
    </w:p>
    <w:tbl>
      <w:tblPr>
        <w:tblW w:w="9204" w:type="dxa"/>
        <w:tblLook w:val="04A0" w:firstRow="1" w:lastRow="0" w:firstColumn="1" w:lastColumn="0" w:noHBand="0" w:noVBand="1"/>
      </w:tblPr>
      <w:tblGrid>
        <w:gridCol w:w="7361"/>
        <w:gridCol w:w="1843"/>
      </w:tblGrid>
      <w:tr w:rsidR="00E04CB2" w:rsidRPr="001D4D39" w14:paraId="247D5193" w14:textId="77777777">
        <w:trPr>
          <w:trHeight w:val="774"/>
        </w:trPr>
        <w:tc>
          <w:tcPr>
            <w:tcW w:w="7361"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B6B9566" w14:textId="77777777" w:rsidR="00E04CB2" w:rsidRPr="001D4D39" w:rsidRDefault="00E04CB2" w:rsidP="00E04CB2">
            <w:pPr>
              <w:spacing w:after="0"/>
              <w:jc w:val="center"/>
              <w:rPr>
                <w:rFonts w:eastAsia="Calibri" w:cs="Arial"/>
                <w:b/>
                <w:color w:val="000000"/>
                <w:szCs w:val="24"/>
              </w:rPr>
            </w:pPr>
            <w:r w:rsidRPr="001D4D39">
              <w:rPr>
                <w:rFonts w:eastAsia="Calibri" w:cs="Arial"/>
                <w:b/>
                <w:color w:val="000000"/>
                <w:szCs w:val="24"/>
              </w:rPr>
              <w:t>Revenue Budget 2023/24</w:t>
            </w:r>
          </w:p>
          <w:p w14:paraId="694F7678" w14:textId="77777777" w:rsidR="00E04CB2" w:rsidRPr="001D4D39" w:rsidRDefault="00E04CB2" w:rsidP="00E04CB2">
            <w:pPr>
              <w:spacing w:after="0"/>
              <w:jc w:val="center"/>
              <w:rPr>
                <w:rFonts w:cs="Arial"/>
                <w:b/>
                <w:bCs/>
                <w:color w:val="000000"/>
                <w:szCs w:val="24"/>
              </w:rPr>
            </w:pPr>
          </w:p>
        </w:tc>
        <w:tc>
          <w:tcPr>
            <w:tcW w:w="1843" w:type="dxa"/>
            <w:tcBorders>
              <w:top w:val="single" w:sz="8" w:space="0" w:color="auto"/>
              <w:left w:val="nil"/>
              <w:bottom w:val="single" w:sz="8" w:space="0" w:color="auto"/>
              <w:right w:val="single" w:sz="8" w:space="0" w:color="auto"/>
            </w:tcBorders>
            <w:shd w:val="clear" w:color="auto" w:fill="D9D9D9"/>
            <w:noWrap/>
            <w:vAlign w:val="center"/>
            <w:hideMark/>
          </w:tcPr>
          <w:p w14:paraId="2880C2B8" w14:textId="77777777" w:rsidR="00E04CB2" w:rsidRPr="001D4D39" w:rsidRDefault="00E04CB2" w:rsidP="00E04CB2">
            <w:pPr>
              <w:spacing w:after="0"/>
              <w:jc w:val="center"/>
              <w:rPr>
                <w:rFonts w:eastAsia="Calibri" w:cs="Arial"/>
                <w:b/>
                <w:color w:val="000000"/>
                <w:szCs w:val="24"/>
              </w:rPr>
            </w:pPr>
          </w:p>
          <w:p w14:paraId="6EBAE09C" w14:textId="77777777" w:rsidR="00E04CB2" w:rsidRDefault="00E04CB2" w:rsidP="00E04CB2">
            <w:pPr>
              <w:spacing w:after="0"/>
              <w:jc w:val="center"/>
              <w:rPr>
                <w:rFonts w:eastAsia="Calibri" w:cs="Arial"/>
                <w:b/>
                <w:color w:val="000000"/>
                <w:szCs w:val="24"/>
              </w:rPr>
            </w:pPr>
            <w:r w:rsidRPr="001D4D39">
              <w:rPr>
                <w:rFonts w:eastAsia="Calibri" w:cs="Arial"/>
                <w:b/>
                <w:color w:val="000000"/>
                <w:szCs w:val="24"/>
              </w:rPr>
              <w:t>Net Budget</w:t>
            </w:r>
          </w:p>
          <w:p w14:paraId="662C5E35" w14:textId="1EDF96B0" w:rsidR="00E04CB2" w:rsidRPr="004B735C" w:rsidRDefault="00E04CB2" w:rsidP="00E04CB2">
            <w:pPr>
              <w:spacing w:after="0"/>
              <w:jc w:val="center"/>
              <w:rPr>
                <w:rFonts w:eastAsia="Calibri" w:cs="Arial"/>
                <w:b/>
                <w:color w:val="000000"/>
                <w:szCs w:val="24"/>
              </w:rPr>
            </w:pPr>
            <w:r>
              <w:rPr>
                <w:rFonts w:eastAsia="Calibri" w:cs="Arial"/>
                <w:b/>
                <w:color w:val="000000"/>
                <w:szCs w:val="24"/>
              </w:rPr>
              <w:t xml:space="preserve"> (£m)</w:t>
            </w:r>
          </w:p>
          <w:p w14:paraId="4F26F477" w14:textId="77777777" w:rsidR="00E04CB2" w:rsidRPr="001D4D39" w:rsidRDefault="00E04CB2" w:rsidP="00E04CB2">
            <w:pPr>
              <w:spacing w:after="0"/>
              <w:jc w:val="center"/>
              <w:rPr>
                <w:rFonts w:cs="Arial"/>
                <w:b/>
                <w:bCs/>
                <w:color w:val="000000"/>
                <w:szCs w:val="24"/>
              </w:rPr>
            </w:pPr>
          </w:p>
        </w:tc>
      </w:tr>
      <w:tr w:rsidR="00E04CB2" w:rsidRPr="001D4D39" w14:paraId="0365A6FA"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76AF2DCB" w14:textId="77777777" w:rsidR="00E04CB2" w:rsidRPr="001D4D39" w:rsidRDefault="00E04CB2" w:rsidP="003A2986">
            <w:pPr>
              <w:spacing w:after="0"/>
              <w:rPr>
                <w:rFonts w:cs="Arial"/>
                <w:color w:val="000000"/>
                <w:szCs w:val="24"/>
              </w:rPr>
            </w:pPr>
            <w:r w:rsidRPr="001D4D39">
              <w:rPr>
                <w:rFonts w:cs="Arial"/>
                <w:color w:val="000000"/>
                <w:szCs w:val="24"/>
              </w:rPr>
              <w:t>Adult Services</w:t>
            </w:r>
          </w:p>
        </w:tc>
        <w:tc>
          <w:tcPr>
            <w:tcW w:w="1843" w:type="dxa"/>
            <w:tcBorders>
              <w:top w:val="nil"/>
              <w:left w:val="nil"/>
              <w:bottom w:val="single" w:sz="8" w:space="0" w:color="auto"/>
              <w:right w:val="single" w:sz="8" w:space="0" w:color="auto"/>
            </w:tcBorders>
            <w:shd w:val="clear" w:color="auto" w:fill="auto"/>
            <w:noWrap/>
            <w:vAlign w:val="center"/>
            <w:hideMark/>
          </w:tcPr>
          <w:p w14:paraId="397CCA32" w14:textId="77777777" w:rsidR="00E04CB2" w:rsidRPr="004B735C" w:rsidRDefault="00E04CB2" w:rsidP="003A2986">
            <w:pPr>
              <w:spacing w:after="0"/>
              <w:jc w:val="right"/>
              <w:rPr>
                <w:rFonts w:cs="Arial"/>
                <w:color w:val="000000"/>
                <w:szCs w:val="24"/>
              </w:rPr>
            </w:pPr>
            <w:r w:rsidRPr="004B735C">
              <w:rPr>
                <w:rFonts w:cs="Arial"/>
                <w:color w:val="000000"/>
                <w:szCs w:val="24"/>
              </w:rPr>
              <w:t xml:space="preserve">444.813 </w:t>
            </w:r>
          </w:p>
        </w:tc>
      </w:tr>
      <w:tr w:rsidR="00E04CB2" w:rsidRPr="001D4D39" w14:paraId="75961230"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6DC36AE2" w14:textId="77777777" w:rsidR="00E04CB2" w:rsidRPr="001D4D39" w:rsidRDefault="00E04CB2" w:rsidP="003A2986">
            <w:pPr>
              <w:spacing w:after="0"/>
              <w:rPr>
                <w:rFonts w:cs="Arial"/>
                <w:color w:val="000000"/>
                <w:szCs w:val="24"/>
              </w:rPr>
            </w:pPr>
            <w:r w:rsidRPr="001D4D39">
              <w:rPr>
                <w:rFonts w:cs="Arial"/>
                <w:color w:val="000000"/>
                <w:szCs w:val="24"/>
              </w:rPr>
              <w:t>Safeguarding and Quality Improvement</w:t>
            </w:r>
          </w:p>
        </w:tc>
        <w:tc>
          <w:tcPr>
            <w:tcW w:w="1843" w:type="dxa"/>
            <w:tcBorders>
              <w:top w:val="nil"/>
              <w:left w:val="nil"/>
              <w:bottom w:val="single" w:sz="8" w:space="0" w:color="auto"/>
              <w:right w:val="single" w:sz="8" w:space="0" w:color="auto"/>
            </w:tcBorders>
            <w:shd w:val="clear" w:color="auto" w:fill="auto"/>
            <w:noWrap/>
            <w:vAlign w:val="center"/>
            <w:hideMark/>
          </w:tcPr>
          <w:p w14:paraId="7CE8446D"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10.220 </w:t>
            </w:r>
          </w:p>
        </w:tc>
      </w:tr>
      <w:tr w:rsidR="00E04CB2" w:rsidRPr="001D4D39" w14:paraId="6966F513"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1944C0BD" w14:textId="77777777" w:rsidR="00E04CB2" w:rsidRPr="001D4D39" w:rsidRDefault="00E04CB2" w:rsidP="003A2986">
            <w:pPr>
              <w:spacing w:after="0"/>
              <w:rPr>
                <w:rFonts w:cs="Arial"/>
                <w:color w:val="000000"/>
                <w:szCs w:val="24"/>
              </w:rPr>
            </w:pPr>
            <w:r w:rsidRPr="001D4D39">
              <w:rPr>
                <w:rFonts w:cs="Arial"/>
                <w:color w:val="000000"/>
                <w:szCs w:val="24"/>
              </w:rPr>
              <w:t>Public Health</w:t>
            </w:r>
          </w:p>
        </w:tc>
        <w:tc>
          <w:tcPr>
            <w:tcW w:w="1843" w:type="dxa"/>
            <w:tcBorders>
              <w:top w:val="nil"/>
              <w:left w:val="nil"/>
              <w:bottom w:val="single" w:sz="8" w:space="0" w:color="auto"/>
              <w:right w:val="single" w:sz="8" w:space="0" w:color="auto"/>
            </w:tcBorders>
            <w:shd w:val="clear" w:color="auto" w:fill="auto"/>
            <w:noWrap/>
            <w:vAlign w:val="center"/>
            <w:hideMark/>
          </w:tcPr>
          <w:p w14:paraId="7DA2CB87"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-3.016 </w:t>
            </w:r>
          </w:p>
        </w:tc>
      </w:tr>
      <w:tr w:rsidR="00E04CB2" w:rsidRPr="001D4D39" w14:paraId="07998CA0"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2DD4BDA2" w14:textId="77777777" w:rsidR="00E04CB2" w:rsidRPr="001D4D39" w:rsidRDefault="00E04CB2" w:rsidP="003A2986">
            <w:pPr>
              <w:spacing w:after="0"/>
              <w:rPr>
                <w:rFonts w:cs="Arial"/>
                <w:color w:val="000000"/>
                <w:szCs w:val="24"/>
              </w:rPr>
            </w:pPr>
            <w:r w:rsidRPr="001D4D39">
              <w:rPr>
                <w:rFonts w:cs="Arial"/>
                <w:color w:val="000000"/>
                <w:szCs w:val="24"/>
              </w:rPr>
              <w:t>Children's Social Care</w:t>
            </w:r>
          </w:p>
        </w:tc>
        <w:tc>
          <w:tcPr>
            <w:tcW w:w="1843" w:type="dxa"/>
            <w:tcBorders>
              <w:top w:val="nil"/>
              <w:left w:val="nil"/>
              <w:bottom w:val="single" w:sz="8" w:space="0" w:color="auto"/>
              <w:right w:val="single" w:sz="8" w:space="0" w:color="auto"/>
            </w:tcBorders>
            <w:shd w:val="clear" w:color="auto" w:fill="auto"/>
            <w:noWrap/>
            <w:vAlign w:val="center"/>
            <w:hideMark/>
          </w:tcPr>
          <w:p w14:paraId="557BC0A0"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193.647 </w:t>
            </w:r>
          </w:p>
        </w:tc>
      </w:tr>
      <w:tr w:rsidR="00E04CB2" w:rsidRPr="001D4D39" w14:paraId="3D24638E"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28B48914" w14:textId="77777777" w:rsidR="00E04CB2" w:rsidRPr="001D4D39" w:rsidRDefault="00E04CB2" w:rsidP="003A2986">
            <w:pPr>
              <w:spacing w:after="0"/>
              <w:rPr>
                <w:rFonts w:cs="Arial"/>
                <w:color w:val="000000"/>
                <w:szCs w:val="24"/>
              </w:rPr>
            </w:pPr>
            <w:r w:rsidRPr="001D4D39">
              <w:rPr>
                <w:rFonts w:cs="Arial"/>
                <w:color w:val="000000"/>
                <w:szCs w:val="24"/>
              </w:rPr>
              <w:t>Education, Culture and Skills</w:t>
            </w:r>
          </w:p>
        </w:tc>
        <w:tc>
          <w:tcPr>
            <w:tcW w:w="1843" w:type="dxa"/>
            <w:tcBorders>
              <w:top w:val="nil"/>
              <w:left w:val="nil"/>
              <w:bottom w:val="single" w:sz="8" w:space="0" w:color="auto"/>
              <w:right w:val="single" w:sz="8" w:space="0" w:color="auto"/>
            </w:tcBorders>
            <w:shd w:val="clear" w:color="auto" w:fill="auto"/>
            <w:noWrap/>
            <w:vAlign w:val="center"/>
            <w:hideMark/>
          </w:tcPr>
          <w:p w14:paraId="30FB8B86"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45.386 </w:t>
            </w:r>
          </w:p>
        </w:tc>
      </w:tr>
      <w:tr w:rsidR="00E04CB2" w:rsidRPr="001D4D39" w14:paraId="476C9C3B"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380C0A30" w14:textId="77777777" w:rsidR="00E04CB2" w:rsidRPr="001D4D39" w:rsidRDefault="00E04CB2" w:rsidP="003A2986">
            <w:pPr>
              <w:spacing w:after="0"/>
              <w:rPr>
                <w:rFonts w:cs="Arial"/>
                <w:color w:val="000000"/>
                <w:szCs w:val="24"/>
              </w:rPr>
            </w:pPr>
            <w:r w:rsidRPr="001D4D39">
              <w:rPr>
                <w:rFonts w:cs="Arial"/>
                <w:color w:val="000000"/>
                <w:szCs w:val="24"/>
              </w:rPr>
              <w:t>Education and Children's Services</w:t>
            </w:r>
          </w:p>
        </w:tc>
        <w:tc>
          <w:tcPr>
            <w:tcW w:w="1843" w:type="dxa"/>
            <w:tcBorders>
              <w:top w:val="nil"/>
              <w:left w:val="nil"/>
              <w:bottom w:val="single" w:sz="8" w:space="0" w:color="auto"/>
              <w:right w:val="single" w:sz="8" w:space="0" w:color="auto"/>
            </w:tcBorders>
            <w:shd w:val="clear" w:color="auto" w:fill="auto"/>
            <w:noWrap/>
            <w:vAlign w:val="center"/>
            <w:hideMark/>
          </w:tcPr>
          <w:p w14:paraId="40EFB7D7"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10.774 </w:t>
            </w:r>
          </w:p>
        </w:tc>
      </w:tr>
      <w:tr w:rsidR="00E04CB2" w:rsidRPr="001D4D39" w14:paraId="2DAEF5B1"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2CB25734" w14:textId="77777777" w:rsidR="00E04CB2" w:rsidRPr="001D4D39" w:rsidRDefault="00E04CB2" w:rsidP="003A2986">
            <w:pPr>
              <w:spacing w:after="0"/>
              <w:rPr>
                <w:rFonts w:cs="Arial"/>
                <w:color w:val="000000"/>
                <w:szCs w:val="24"/>
              </w:rPr>
            </w:pPr>
            <w:r w:rsidRPr="001D4D39">
              <w:rPr>
                <w:rFonts w:cs="Arial"/>
                <w:color w:val="000000"/>
                <w:szCs w:val="24"/>
              </w:rPr>
              <w:t>Policy Commissioning and Children's Health</w:t>
            </w:r>
          </w:p>
        </w:tc>
        <w:tc>
          <w:tcPr>
            <w:tcW w:w="1843" w:type="dxa"/>
            <w:tcBorders>
              <w:top w:val="nil"/>
              <w:left w:val="nil"/>
              <w:bottom w:val="single" w:sz="8" w:space="0" w:color="auto"/>
              <w:right w:val="single" w:sz="8" w:space="0" w:color="auto"/>
            </w:tcBorders>
            <w:shd w:val="clear" w:color="auto" w:fill="auto"/>
            <w:noWrap/>
            <w:vAlign w:val="center"/>
            <w:hideMark/>
          </w:tcPr>
          <w:p w14:paraId="50C84294"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0.271 </w:t>
            </w:r>
          </w:p>
        </w:tc>
      </w:tr>
      <w:tr w:rsidR="00E04CB2" w:rsidRPr="001D4D39" w14:paraId="7E348B62"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2C145D8B" w14:textId="77777777" w:rsidR="00E04CB2" w:rsidRPr="001D4D39" w:rsidRDefault="00E04CB2" w:rsidP="003A2986">
            <w:pPr>
              <w:spacing w:after="0"/>
              <w:rPr>
                <w:rFonts w:cs="Arial"/>
                <w:color w:val="000000"/>
                <w:szCs w:val="24"/>
              </w:rPr>
            </w:pPr>
            <w:r w:rsidRPr="001D4D39">
              <w:rPr>
                <w:rFonts w:cs="Arial"/>
                <w:color w:val="000000"/>
                <w:szCs w:val="24"/>
              </w:rPr>
              <w:t>Highways and Transport</w:t>
            </w:r>
          </w:p>
        </w:tc>
        <w:tc>
          <w:tcPr>
            <w:tcW w:w="1843" w:type="dxa"/>
            <w:tcBorders>
              <w:top w:val="nil"/>
              <w:left w:val="nil"/>
              <w:bottom w:val="single" w:sz="8" w:space="0" w:color="auto"/>
              <w:right w:val="single" w:sz="8" w:space="0" w:color="auto"/>
            </w:tcBorders>
            <w:shd w:val="clear" w:color="auto" w:fill="auto"/>
            <w:noWrap/>
            <w:vAlign w:val="center"/>
            <w:hideMark/>
          </w:tcPr>
          <w:p w14:paraId="245579F6"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162.016 </w:t>
            </w:r>
          </w:p>
        </w:tc>
      </w:tr>
      <w:tr w:rsidR="00E04CB2" w:rsidRPr="001D4D39" w14:paraId="3ADBC7D3"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40D43792" w14:textId="77777777" w:rsidR="00E04CB2" w:rsidRPr="001D4D39" w:rsidRDefault="00E04CB2" w:rsidP="003A2986">
            <w:pPr>
              <w:spacing w:after="0"/>
              <w:rPr>
                <w:rFonts w:cs="Arial"/>
                <w:color w:val="000000"/>
                <w:szCs w:val="24"/>
              </w:rPr>
            </w:pPr>
            <w:r w:rsidRPr="001D4D39">
              <w:rPr>
                <w:rFonts w:cs="Arial"/>
                <w:color w:val="000000"/>
                <w:szCs w:val="24"/>
              </w:rPr>
              <w:t>Growth and Regeneration</w:t>
            </w:r>
          </w:p>
        </w:tc>
        <w:tc>
          <w:tcPr>
            <w:tcW w:w="1843" w:type="dxa"/>
            <w:tcBorders>
              <w:top w:val="nil"/>
              <w:left w:val="nil"/>
              <w:bottom w:val="single" w:sz="8" w:space="0" w:color="auto"/>
              <w:right w:val="single" w:sz="8" w:space="0" w:color="auto"/>
            </w:tcBorders>
            <w:shd w:val="clear" w:color="auto" w:fill="auto"/>
            <w:noWrap/>
            <w:vAlign w:val="center"/>
            <w:hideMark/>
          </w:tcPr>
          <w:p w14:paraId="2864B761"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3.118 </w:t>
            </w:r>
          </w:p>
        </w:tc>
      </w:tr>
      <w:tr w:rsidR="00E04CB2" w:rsidRPr="001D4D39" w14:paraId="68EB25C4"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1C8DBD5A" w14:textId="77777777" w:rsidR="00E04CB2" w:rsidRPr="001D4D39" w:rsidRDefault="00E04CB2" w:rsidP="003A2986">
            <w:pPr>
              <w:spacing w:after="0"/>
              <w:rPr>
                <w:rFonts w:cs="Arial"/>
                <w:color w:val="000000"/>
                <w:szCs w:val="24"/>
              </w:rPr>
            </w:pPr>
            <w:r w:rsidRPr="001D4D39">
              <w:rPr>
                <w:rFonts w:cs="Arial"/>
                <w:color w:val="000000"/>
                <w:szCs w:val="24"/>
              </w:rPr>
              <w:t>Environment and Planning</w:t>
            </w:r>
          </w:p>
        </w:tc>
        <w:tc>
          <w:tcPr>
            <w:tcW w:w="1843" w:type="dxa"/>
            <w:tcBorders>
              <w:top w:val="nil"/>
              <w:left w:val="nil"/>
              <w:bottom w:val="single" w:sz="8" w:space="0" w:color="auto"/>
              <w:right w:val="single" w:sz="8" w:space="0" w:color="auto"/>
            </w:tcBorders>
            <w:shd w:val="clear" w:color="auto" w:fill="auto"/>
            <w:noWrap/>
            <w:vAlign w:val="center"/>
            <w:hideMark/>
          </w:tcPr>
          <w:p w14:paraId="04A5D50E"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3.194 </w:t>
            </w:r>
          </w:p>
        </w:tc>
      </w:tr>
      <w:tr w:rsidR="00E04CB2" w:rsidRPr="001D4D39" w14:paraId="150D0A54"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2014CC70" w14:textId="77777777" w:rsidR="00E04CB2" w:rsidRPr="001D4D39" w:rsidRDefault="00E04CB2" w:rsidP="003A2986">
            <w:pPr>
              <w:spacing w:after="0"/>
              <w:rPr>
                <w:rFonts w:cs="Arial"/>
                <w:color w:val="000000"/>
                <w:szCs w:val="24"/>
              </w:rPr>
            </w:pPr>
            <w:r w:rsidRPr="001D4D39">
              <w:rPr>
                <w:rFonts w:cs="Arial"/>
                <w:color w:val="000000"/>
                <w:szCs w:val="24"/>
              </w:rPr>
              <w:t>Resources</w:t>
            </w:r>
          </w:p>
        </w:tc>
        <w:tc>
          <w:tcPr>
            <w:tcW w:w="1843" w:type="dxa"/>
            <w:tcBorders>
              <w:top w:val="nil"/>
              <w:left w:val="nil"/>
              <w:bottom w:val="single" w:sz="8" w:space="0" w:color="auto"/>
              <w:right w:val="single" w:sz="8" w:space="0" w:color="auto"/>
            </w:tcBorders>
            <w:shd w:val="clear" w:color="auto" w:fill="auto"/>
            <w:noWrap/>
            <w:vAlign w:val="center"/>
            <w:hideMark/>
          </w:tcPr>
          <w:p w14:paraId="58F39E4E"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7.917 </w:t>
            </w:r>
          </w:p>
        </w:tc>
      </w:tr>
      <w:tr w:rsidR="00E04CB2" w:rsidRPr="001D4D39" w14:paraId="6B316B3E"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3051F2E3" w14:textId="77777777" w:rsidR="00E04CB2" w:rsidRPr="001D4D39" w:rsidRDefault="00E04CB2" w:rsidP="003A2986">
            <w:pPr>
              <w:spacing w:after="0"/>
              <w:rPr>
                <w:rFonts w:cs="Arial"/>
                <w:color w:val="000000"/>
                <w:szCs w:val="24"/>
              </w:rPr>
            </w:pPr>
            <w:r w:rsidRPr="001D4D39">
              <w:rPr>
                <w:rFonts w:cs="Arial"/>
                <w:color w:val="000000"/>
                <w:szCs w:val="24"/>
              </w:rPr>
              <w:t>Finance Services</w:t>
            </w:r>
          </w:p>
        </w:tc>
        <w:tc>
          <w:tcPr>
            <w:tcW w:w="1843" w:type="dxa"/>
            <w:tcBorders>
              <w:top w:val="nil"/>
              <w:left w:val="nil"/>
              <w:bottom w:val="single" w:sz="8" w:space="0" w:color="auto"/>
              <w:right w:val="single" w:sz="8" w:space="0" w:color="auto"/>
            </w:tcBorders>
            <w:shd w:val="clear" w:color="auto" w:fill="auto"/>
            <w:noWrap/>
            <w:vAlign w:val="center"/>
            <w:hideMark/>
          </w:tcPr>
          <w:p w14:paraId="52DFB50C" w14:textId="77777777" w:rsidR="00E04CB2" w:rsidRPr="001D4D39" w:rsidRDefault="00E04CB2" w:rsidP="003A2986">
            <w:pPr>
              <w:spacing w:after="0"/>
              <w:jc w:val="right"/>
              <w:rPr>
                <w:rFonts w:cs="Arial"/>
                <w:color w:val="000000"/>
                <w:szCs w:val="24"/>
              </w:rPr>
            </w:pPr>
            <w:r w:rsidRPr="001D4D39">
              <w:rPr>
                <w:rFonts w:cs="Arial"/>
                <w:color w:val="000000"/>
                <w:szCs w:val="24"/>
              </w:rPr>
              <w:t>19.84</w:t>
            </w:r>
            <w:r>
              <w:rPr>
                <w:rFonts w:cs="Arial"/>
                <w:color w:val="000000"/>
                <w:szCs w:val="24"/>
              </w:rPr>
              <w:t>8</w:t>
            </w:r>
          </w:p>
        </w:tc>
      </w:tr>
      <w:tr w:rsidR="00E04CB2" w:rsidRPr="001D4D39" w14:paraId="2BE6028C"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61EC1A37" w14:textId="77777777" w:rsidR="00E04CB2" w:rsidRPr="001D4D39" w:rsidRDefault="00E04CB2" w:rsidP="003A2986">
            <w:pPr>
              <w:spacing w:after="0"/>
              <w:rPr>
                <w:rFonts w:cs="Arial"/>
                <w:color w:val="000000"/>
                <w:szCs w:val="24"/>
              </w:rPr>
            </w:pPr>
            <w:r w:rsidRPr="001D4D39">
              <w:rPr>
                <w:rFonts w:cs="Arial"/>
                <w:color w:val="000000"/>
                <w:szCs w:val="24"/>
              </w:rPr>
              <w:t>Strategy and Performance</w:t>
            </w:r>
          </w:p>
        </w:tc>
        <w:tc>
          <w:tcPr>
            <w:tcW w:w="1843" w:type="dxa"/>
            <w:tcBorders>
              <w:top w:val="nil"/>
              <w:left w:val="nil"/>
              <w:bottom w:val="single" w:sz="8" w:space="0" w:color="auto"/>
              <w:right w:val="single" w:sz="8" w:space="0" w:color="auto"/>
            </w:tcBorders>
            <w:shd w:val="clear" w:color="auto" w:fill="auto"/>
            <w:noWrap/>
            <w:vAlign w:val="center"/>
            <w:hideMark/>
          </w:tcPr>
          <w:p w14:paraId="39B69103"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40.262 </w:t>
            </w:r>
          </w:p>
        </w:tc>
      </w:tr>
      <w:tr w:rsidR="00E04CB2" w:rsidRPr="001D4D39" w14:paraId="7F5F1490"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31FC8243" w14:textId="77777777" w:rsidR="00E04CB2" w:rsidRPr="001D4D39" w:rsidRDefault="00E04CB2" w:rsidP="003A2986">
            <w:pPr>
              <w:spacing w:after="0"/>
              <w:rPr>
                <w:rFonts w:cs="Arial"/>
                <w:color w:val="000000"/>
                <w:szCs w:val="24"/>
              </w:rPr>
            </w:pPr>
            <w:r w:rsidRPr="001D4D39">
              <w:rPr>
                <w:rFonts w:cs="Arial"/>
                <w:color w:val="000000"/>
                <w:szCs w:val="24"/>
              </w:rPr>
              <w:t>Law and Governance</w:t>
            </w:r>
          </w:p>
        </w:tc>
        <w:tc>
          <w:tcPr>
            <w:tcW w:w="1843" w:type="dxa"/>
            <w:tcBorders>
              <w:top w:val="nil"/>
              <w:left w:val="nil"/>
              <w:bottom w:val="single" w:sz="8" w:space="0" w:color="auto"/>
              <w:right w:val="single" w:sz="8" w:space="0" w:color="auto"/>
            </w:tcBorders>
            <w:shd w:val="clear" w:color="auto" w:fill="auto"/>
            <w:noWrap/>
            <w:vAlign w:val="center"/>
            <w:hideMark/>
          </w:tcPr>
          <w:p w14:paraId="3F1E102B"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19.622 </w:t>
            </w:r>
          </w:p>
        </w:tc>
      </w:tr>
      <w:tr w:rsidR="00E04CB2" w:rsidRPr="001D4D39" w14:paraId="1B57E212"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7DA4DB6F" w14:textId="77777777" w:rsidR="00E04CB2" w:rsidRPr="001D4D39" w:rsidRDefault="00E04CB2" w:rsidP="003A2986">
            <w:pPr>
              <w:spacing w:after="0"/>
              <w:rPr>
                <w:rFonts w:cs="Arial"/>
                <w:color w:val="000000"/>
                <w:szCs w:val="24"/>
              </w:rPr>
            </w:pPr>
            <w:r w:rsidRPr="001D4D39">
              <w:rPr>
                <w:rFonts w:cs="Arial"/>
                <w:color w:val="000000"/>
                <w:szCs w:val="24"/>
              </w:rPr>
              <w:t>Digital Service</w:t>
            </w:r>
          </w:p>
        </w:tc>
        <w:tc>
          <w:tcPr>
            <w:tcW w:w="1843" w:type="dxa"/>
            <w:tcBorders>
              <w:top w:val="nil"/>
              <w:left w:val="nil"/>
              <w:bottom w:val="single" w:sz="8" w:space="0" w:color="auto"/>
              <w:right w:val="single" w:sz="8" w:space="0" w:color="auto"/>
            </w:tcBorders>
            <w:shd w:val="clear" w:color="auto" w:fill="auto"/>
            <w:noWrap/>
            <w:vAlign w:val="center"/>
            <w:hideMark/>
          </w:tcPr>
          <w:p w14:paraId="38832CBB"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35.776 </w:t>
            </w:r>
          </w:p>
        </w:tc>
      </w:tr>
      <w:tr w:rsidR="00E04CB2" w:rsidRPr="001D4D39" w14:paraId="03D38781"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158881BE" w14:textId="77777777" w:rsidR="00E04CB2" w:rsidRPr="001D4D39" w:rsidRDefault="00E04CB2" w:rsidP="003A2986">
            <w:pPr>
              <w:spacing w:after="0"/>
              <w:rPr>
                <w:rFonts w:cs="Arial"/>
                <w:color w:val="000000"/>
                <w:szCs w:val="24"/>
              </w:rPr>
            </w:pPr>
            <w:r w:rsidRPr="001D4D39">
              <w:rPr>
                <w:rFonts w:cs="Arial"/>
                <w:color w:val="000000"/>
                <w:szCs w:val="24"/>
              </w:rPr>
              <w:t>People Services</w:t>
            </w:r>
          </w:p>
        </w:tc>
        <w:tc>
          <w:tcPr>
            <w:tcW w:w="1843" w:type="dxa"/>
            <w:tcBorders>
              <w:top w:val="nil"/>
              <w:left w:val="nil"/>
              <w:bottom w:val="single" w:sz="8" w:space="0" w:color="auto"/>
              <w:right w:val="single" w:sz="8" w:space="0" w:color="auto"/>
            </w:tcBorders>
            <w:shd w:val="clear" w:color="auto" w:fill="auto"/>
            <w:noWrap/>
            <w:vAlign w:val="center"/>
            <w:hideMark/>
          </w:tcPr>
          <w:p w14:paraId="30E60827"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5.835 </w:t>
            </w:r>
          </w:p>
        </w:tc>
      </w:tr>
      <w:tr w:rsidR="00E04CB2" w:rsidRPr="001D4D39" w14:paraId="12A56B8F"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65021057" w14:textId="77777777" w:rsidR="00E04CB2" w:rsidRPr="001D4D39" w:rsidRDefault="00E04CB2" w:rsidP="003A2986">
            <w:pPr>
              <w:spacing w:after="0"/>
              <w:rPr>
                <w:rFonts w:cs="Arial"/>
                <w:color w:val="000000"/>
                <w:szCs w:val="24"/>
              </w:rPr>
            </w:pPr>
            <w:r w:rsidRPr="001D4D39">
              <w:rPr>
                <w:rFonts w:cs="Arial"/>
                <w:color w:val="000000"/>
                <w:szCs w:val="24"/>
              </w:rPr>
              <w:t>Organisation Development and Change</w:t>
            </w:r>
          </w:p>
        </w:tc>
        <w:tc>
          <w:tcPr>
            <w:tcW w:w="1843" w:type="dxa"/>
            <w:tcBorders>
              <w:top w:val="nil"/>
              <w:left w:val="nil"/>
              <w:bottom w:val="single" w:sz="8" w:space="0" w:color="auto"/>
              <w:right w:val="single" w:sz="8" w:space="0" w:color="auto"/>
            </w:tcBorders>
            <w:shd w:val="clear" w:color="auto" w:fill="auto"/>
            <w:noWrap/>
            <w:vAlign w:val="center"/>
            <w:hideMark/>
          </w:tcPr>
          <w:p w14:paraId="1B39C774"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2.179 </w:t>
            </w:r>
          </w:p>
        </w:tc>
      </w:tr>
      <w:tr w:rsidR="00E04CB2" w:rsidRPr="001D4D39" w14:paraId="52A34C5D"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6F1C0C30" w14:textId="77777777" w:rsidR="00E04CB2" w:rsidRPr="001D4D39" w:rsidRDefault="00E04CB2" w:rsidP="003A2986">
            <w:pPr>
              <w:spacing w:after="0"/>
              <w:rPr>
                <w:rFonts w:cs="Arial"/>
                <w:color w:val="000000"/>
                <w:szCs w:val="24"/>
              </w:rPr>
            </w:pPr>
            <w:r w:rsidRPr="001D4D39">
              <w:rPr>
                <w:rFonts w:cs="Arial"/>
                <w:color w:val="000000"/>
                <w:szCs w:val="24"/>
              </w:rPr>
              <w:t>Chief Executive Services</w:t>
            </w:r>
          </w:p>
        </w:tc>
        <w:tc>
          <w:tcPr>
            <w:tcW w:w="1843" w:type="dxa"/>
            <w:tcBorders>
              <w:top w:val="nil"/>
              <w:left w:val="nil"/>
              <w:bottom w:val="single" w:sz="8" w:space="0" w:color="auto"/>
              <w:right w:val="single" w:sz="8" w:space="0" w:color="auto"/>
            </w:tcBorders>
            <w:shd w:val="clear" w:color="auto" w:fill="auto"/>
            <w:noWrap/>
            <w:vAlign w:val="center"/>
            <w:hideMark/>
          </w:tcPr>
          <w:p w14:paraId="220C72F8"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2.874 </w:t>
            </w:r>
          </w:p>
        </w:tc>
      </w:tr>
      <w:tr w:rsidR="00E04CB2" w:rsidRPr="005A2610" w14:paraId="2BB1BE6E" w14:textId="77777777">
        <w:trPr>
          <w:trHeight w:val="397"/>
        </w:trPr>
        <w:tc>
          <w:tcPr>
            <w:tcW w:w="7361" w:type="dxa"/>
            <w:tcBorders>
              <w:top w:val="nil"/>
              <w:left w:val="single" w:sz="8" w:space="0" w:color="auto"/>
              <w:bottom w:val="single" w:sz="8" w:space="0" w:color="auto"/>
              <w:right w:val="single" w:sz="8" w:space="0" w:color="auto"/>
            </w:tcBorders>
            <w:shd w:val="clear" w:color="000000" w:fill="BFBFBF"/>
            <w:noWrap/>
            <w:vAlign w:val="center"/>
            <w:hideMark/>
          </w:tcPr>
          <w:p w14:paraId="5DB5756F" w14:textId="77777777" w:rsidR="00E04CB2" w:rsidRPr="005A2610" w:rsidRDefault="00E04CB2" w:rsidP="003A2986">
            <w:pPr>
              <w:spacing w:after="0"/>
              <w:rPr>
                <w:rFonts w:cs="Arial"/>
                <w:b/>
                <w:bCs/>
                <w:color w:val="000000"/>
                <w:szCs w:val="24"/>
              </w:rPr>
            </w:pPr>
            <w:r w:rsidRPr="005A2610">
              <w:rPr>
                <w:rFonts w:cs="Arial"/>
                <w:b/>
                <w:bCs/>
                <w:color w:val="000000"/>
                <w:szCs w:val="24"/>
              </w:rPr>
              <w:t>Sub-Total</w:t>
            </w:r>
          </w:p>
        </w:tc>
        <w:tc>
          <w:tcPr>
            <w:tcW w:w="1843" w:type="dxa"/>
            <w:tcBorders>
              <w:top w:val="nil"/>
              <w:left w:val="nil"/>
              <w:bottom w:val="single" w:sz="8" w:space="0" w:color="auto"/>
              <w:right w:val="single" w:sz="8" w:space="0" w:color="auto"/>
            </w:tcBorders>
            <w:shd w:val="clear" w:color="000000" w:fill="BFBFBF"/>
            <w:noWrap/>
            <w:vAlign w:val="center"/>
            <w:hideMark/>
          </w:tcPr>
          <w:p w14:paraId="15670183" w14:textId="77777777" w:rsidR="00E04CB2" w:rsidRPr="005A2610" w:rsidRDefault="00E04CB2" w:rsidP="003A2986">
            <w:pPr>
              <w:spacing w:after="0"/>
              <w:jc w:val="right"/>
              <w:rPr>
                <w:rFonts w:cs="Arial"/>
                <w:b/>
                <w:bCs/>
                <w:color w:val="000000"/>
                <w:szCs w:val="24"/>
              </w:rPr>
            </w:pPr>
            <w:r w:rsidRPr="005A2610">
              <w:rPr>
                <w:rFonts w:cs="Arial"/>
                <w:b/>
                <w:bCs/>
                <w:color w:val="000000"/>
                <w:szCs w:val="24"/>
              </w:rPr>
              <w:t xml:space="preserve">1,004.736 </w:t>
            </w:r>
          </w:p>
        </w:tc>
      </w:tr>
      <w:tr w:rsidR="00E04CB2" w:rsidRPr="001D4D39" w14:paraId="33F5AF64"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5CE35282" w14:textId="77777777" w:rsidR="00E04CB2" w:rsidRPr="001D4D39" w:rsidRDefault="00E04CB2" w:rsidP="003A2986">
            <w:pPr>
              <w:spacing w:after="0"/>
              <w:rPr>
                <w:rFonts w:cs="Arial"/>
                <w:color w:val="000000"/>
                <w:szCs w:val="24"/>
              </w:rPr>
            </w:pPr>
            <w:r w:rsidRPr="001D4D39">
              <w:rPr>
                <w:rFonts w:cs="Arial"/>
                <w:color w:val="000000"/>
                <w:szCs w:val="24"/>
              </w:rPr>
              <w:t>Financing Charges</w:t>
            </w:r>
          </w:p>
        </w:tc>
        <w:tc>
          <w:tcPr>
            <w:tcW w:w="1843" w:type="dxa"/>
            <w:tcBorders>
              <w:top w:val="nil"/>
              <w:left w:val="nil"/>
              <w:bottom w:val="single" w:sz="8" w:space="0" w:color="auto"/>
              <w:right w:val="single" w:sz="8" w:space="0" w:color="auto"/>
            </w:tcBorders>
            <w:shd w:val="clear" w:color="auto" w:fill="auto"/>
            <w:noWrap/>
            <w:vAlign w:val="center"/>
            <w:hideMark/>
          </w:tcPr>
          <w:p w14:paraId="17E1292F" w14:textId="77777777" w:rsidR="00E04CB2" w:rsidRPr="001D4D39" w:rsidRDefault="00E04CB2" w:rsidP="003A2986">
            <w:pPr>
              <w:spacing w:after="0"/>
              <w:jc w:val="right"/>
              <w:rPr>
                <w:rFonts w:cs="Arial"/>
                <w:color w:val="000000"/>
                <w:szCs w:val="24"/>
              </w:rPr>
            </w:pPr>
            <w:r w:rsidRPr="001D4D39">
              <w:rPr>
                <w:rFonts w:cs="Arial"/>
                <w:color w:val="000000"/>
                <w:szCs w:val="24"/>
              </w:rPr>
              <w:t xml:space="preserve">40.403 </w:t>
            </w:r>
          </w:p>
        </w:tc>
      </w:tr>
      <w:tr w:rsidR="00E04CB2" w:rsidRPr="001D4D39" w14:paraId="34101578" w14:textId="77777777">
        <w:trPr>
          <w:trHeight w:val="397"/>
        </w:trPr>
        <w:tc>
          <w:tcPr>
            <w:tcW w:w="7361" w:type="dxa"/>
            <w:tcBorders>
              <w:top w:val="nil"/>
              <w:left w:val="single" w:sz="8" w:space="0" w:color="auto"/>
              <w:bottom w:val="single" w:sz="8" w:space="0" w:color="auto"/>
              <w:right w:val="single" w:sz="8" w:space="0" w:color="auto"/>
            </w:tcBorders>
            <w:shd w:val="clear" w:color="auto" w:fill="auto"/>
            <w:noWrap/>
            <w:vAlign w:val="center"/>
            <w:hideMark/>
          </w:tcPr>
          <w:p w14:paraId="73565575" w14:textId="77777777" w:rsidR="00E04CB2" w:rsidRPr="001D4D39" w:rsidRDefault="00E04CB2" w:rsidP="003A2986">
            <w:pPr>
              <w:spacing w:after="0"/>
              <w:rPr>
                <w:rFonts w:cs="Arial"/>
                <w:color w:val="000000"/>
                <w:szCs w:val="24"/>
              </w:rPr>
            </w:pPr>
            <w:r w:rsidRPr="001D4D39">
              <w:rPr>
                <w:rFonts w:cs="Arial"/>
                <w:color w:val="000000"/>
                <w:szCs w:val="24"/>
              </w:rPr>
              <w:t>Use of one-off resources</w:t>
            </w:r>
            <w:r>
              <w:rPr>
                <w:rFonts w:cs="Arial"/>
                <w:color w:val="000000"/>
                <w:szCs w:val="24"/>
              </w:rPr>
              <w:t xml:space="preserve"> (funding from Transitional Reserve) </w:t>
            </w:r>
          </w:p>
        </w:tc>
        <w:tc>
          <w:tcPr>
            <w:tcW w:w="1843" w:type="dxa"/>
            <w:tcBorders>
              <w:top w:val="nil"/>
              <w:left w:val="nil"/>
              <w:bottom w:val="single" w:sz="8" w:space="0" w:color="auto"/>
              <w:right w:val="single" w:sz="8" w:space="0" w:color="auto"/>
            </w:tcBorders>
            <w:shd w:val="clear" w:color="auto" w:fill="auto"/>
            <w:noWrap/>
            <w:vAlign w:val="center"/>
            <w:hideMark/>
          </w:tcPr>
          <w:p w14:paraId="52196A4E" w14:textId="77777777" w:rsidR="00E04CB2" w:rsidRPr="001D4D39" w:rsidRDefault="00E04CB2" w:rsidP="003A2986">
            <w:pPr>
              <w:spacing w:after="0"/>
              <w:jc w:val="right"/>
              <w:rPr>
                <w:rFonts w:cs="Arial"/>
                <w:color w:val="000000"/>
                <w:szCs w:val="24"/>
              </w:rPr>
            </w:pPr>
            <w:r w:rsidRPr="001D4D39">
              <w:rPr>
                <w:rFonts w:cs="Arial"/>
                <w:color w:val="000000"/>
                <w:szCs w:val="24"/>
              </w:rPr>
              <w:t>-9.</w:t>
            </w:r>
            <w:r>
              <w:rPr>
                <w:rFonts w:cs="Arial"/>
                <w:color w:val="000000"/>
                <w:szCs w:val="24"/>
              </w:rPr>
              <w:t>162</w:t>
            </w:r>
            <w:r w:rsidRPr="001D4D39">
              <w:rPr>
                <w:rFonts w:cs="Arial"/>
                <w:color w:val="000000"/>
                <w:szCs w:val="24"/>
              </w:rPr>
              <w:t xml:space="preserve"> </w:t>
            </w:r>
          </w:p>
        </w:tc>
      </w:tr>
      <w:tr w:rsidR="00E04CB2" w:rsidRPr="001D4D39" w14:paraId="220E79A0" w14:textId="77777777">
        <w:trPr>
          <w:trHeight w:val="397"/>
        </w:trPr>
        <w:tc>
          <w:tcPr>
            <w:tcW w:w="7361" w:type="dxa"/>
            <w:tcBorders>
              <w:top w:val="nil"/>
              <w:left w:val="single" w:sz="8" w:space="0" w:color="auto"/>
              <w:bottom w:val="single" w:sz="8" w:space="0" w:color="auto"/>
              <w:right w:val="single" w:sz="8" w:space="0" w:color="auto"/>
            </w:tcBorders>
            <w:shd w:val="clear" w:color="000000" w:fill="BFBFBF"/>
            <w:noWrap/>
            <w:vAlign w:val="center"/>
            <w:hideMark/>
          </w:tcPr>
          <w:p w14:paraId="68145BFB" w14:textId="77777777" w:rsidR="00E04CB2" w:rsidRPr="004B735C" w:rsidRDefault="00E04CB2" w:rsidP="003A2986">
            <w:pPr>
              <w:spacing w:after="0"/>
              <w:rPr>
                <w:rFonts w:cs="Arial"/>
                <w:b/>
                <w:bCs/>
                <w:color w:val="000000"/>
                <w:szCs w:val="24"/>
              </w:rPr>
            </w:pPr>
            <w:r w:rsidRPr="004B735C">
              <w:rPr>
                <w:rFonts w:cs="Arial"/>
                <w:b/>
                <w:bCs/>
                <w:color w:val="000000"/>
                <w:szCs w:val="24"/>
              </w:rPr>
              <w:t xml:space="preserve">Revenue </w:t>
            </w:r>
            <w:r>
              <w:rPr>
                <w:rFonts w:cs="Arial"/>
                <w:b/>
                <w:bCs/>
                <w:color w:val="000000"/>
                <w:szCs w:val="24"/>
              </w:rPr>
              <w:t>B</w:t>
            </w:r>
            <w:r w:rsidRPr="004B735C">
              <w:rPr>
                <w:rFonts w:cs="Arial"/>
                <w:b/>
                <w:bCs/>
                <w:color w:val="000000"/>
                <w:szCs w:val="24"/>
              </w:rPr>
              <w:t>udget 2023</w:t>
            </w:r>
            <w:r>
              <w:rPr>
                <w:rFonts w:cs="Arial"/>
                <w:b/>
                <w:bCs/>
                <w:color w:val="000000"/>
                <w:szCs w:val="24"/>
              </w:rPr>
              <w:t xml:space="preserve">/24 (Budget Requirement) </w:t>
            </w:r>
          </w:p>
        </w:tc>
        <w:tc>
          <w:tcPr>
            <w:tcW w:w="1843" w:type="dxa"/>
            <w:tcBorders>
              <w:top w:val="nil"/>
              <w:left w:val="nil"/>
              <w:bottom w:val="single" w:sz="8" w:space="0" w:color="auto"/>
              <w:right w:val="single" w:sz="8" w:space="0" w:color="auto"/>
            </w:tcBorders>
            <w:shd w:val="clear" w:color="000000" w:fill="BFBFBF"/>
            <w:noWrap/>
            <w:vAlign w:val="center"/>
            <w:hideMark/>
          </w:tcPr>
          <w:p w14:paraId="70199FA5" w14:textId="77777777" w:rsidR="00E04CB2" w:rsidRPr="004B735C" w:rsidRDefault="00E04CB2" w:rsidP="003A2986">
            <w:pPr>
              <w:spacing w:after="0"/>
              <w:jc w:val="right"/>
              <w:rPr>
                <w:rFonts w:cs="Arial"/>
                <w:b/>
                <w:bCs/>
                <w:color w:val="000000"/>
                <w:szCs w:val="24"/>
              </w:rPr>
            </w:pPr>
            <w:r w:rsidRPr="004B735C">
              <w:rPr>
                <w:rFonts w:cs="Arial"/>
                <w:b/>
                <w:bCs/>
                <w:color w:val="000000"/>
                <w:szCs w:val="24"/>
              </w:rPr>
              <w:t xml:space="preserve">1,035.977 </w:t>
            </w:r>
          </w:p>
        </w:tc>
      </w:tr>
    </w:tbl>
    <w:p w14:paraId="64A94D4B" w14:textId="14565931" w:rsidR="00E04CB2" w:rsidRDefault="00E04CB2" w:rsidP="00E04CB2">
      <w:pPr>
        <w:rPr>
          <w:rFonts w:cs="Arial"/>
          <w:i/>
          <w:iCs/>
          <w:szCs w:val="24"/>
        </w:rPr>
      </w:pPr>
    </w:p>
    <w:p w14:paraId="6B0A09B9" w14:textId="3405E9F9" w:rsidR="00E04CB2" w:rsidRDefault="00E04CB2" w:rsidP="00E04CB2">
      <w:pPr>
        <w:autoSpaceDE w:val="0"/>
        <w:autoSpaceDN w:val="0"/>
        <w:adjustRightInd w:val="0"/>
        <w:spacing w:after="0"/>
        <w:jc w:val="both"/>
        <w:rPr>
          <w:rFonts w:cs="Arial"/>
          <w:i/>
          <w:iCs/>
          <w:szCs w:val="24"/>
        </w:rPr>
      </w:pPr>
    </w:p>
    <w:p w14:paraId="7B23EF0C" w14:textId="77777777" w:rsidR="00E04CB2" w:rsidRDefault="00E04CB2" w:rsidP="00E04CB2">
      <w:pPr>
        <w:autoSpaceDE w:val="0"/>
        <w:autoSpaceDN w:val="0"/>
        <w:adjustRightInd w:val="0"/>
        <w:spacing w:after="0"/>
        <w:jc w:val="both"/>
        <w:rPr>
          <w:rFonts w:eastAsia="Calibri" w:cs="Helvetica-Light"/>
          <w:color w:val="000000"/>
          <w:szCs w:val="24"/>
          <w:highlight w:val="yellow"/>
        </w:rPr>
      </w:pPr>
    </w:p>
    <w:p w14:paraId="38811910" w14:textId="77777777" w:rsidR="00990317" w:rsidRPr="008B4A55" w:rsidRDefault="00990317" w:rsidP="00E04CB2">
      <w:pPr>
        <w:autoSpaceDE w:val="0"/>
        <w:autoSpaceDN w:val="0"/>
        <w:adjustRightInd w:val="0"/>
        <w:spacing w:after="0"/>
        <w:jc w:val="both"/>
        <w:rPr>
          <w:rFonts w:eastAsia="Calibri" w:cs="Helvetica-Light"/>
          <w:color w:val="000000"/>
          <w:szCs w:val="24"/>
          <w:highlight w:val="yellow"/>
        </w:rPr>
      </w:pPr>
    </w:p>
    <w:p w14:paraId="2C968E7B" w14:textId="2EE28E42" w:rsidR="00E04CB2" w:rsidRPr="003A3D06" w:rsidRDefault="005A2610" w:rsidP="00E04CB2">
      <w:pPr>
        <w:spacing w:after="0"/>
        <w:jc w:val="both"/>
        <w:rPr>
          <w:rFonts w:cs="Arial"/>
          <w:b/>
          <w:bCs/>
          <w:szCs w:val="24"/>
        </w:rPr>
      </w:pPr>
      <w:r>
        <w:rPr>
          <w:rFonts w:cs="Arial"/>
          <w:b/>
          <w:bCs/>
          <w:szCs w:val="24"/>
        </w:rPr>
        <w:t>3</w:t>
      </w:r>
      <w:r w:rsidR="00E04CB2" w:rsidRPr="003A3D06">
        <w:rPr>
          <w:rFonts w:cs="Arial"/>
          <w:b/>
          <w:bCs/>
          <w:szCs w:val="24"/>
        </w:rPr>
        <w:t>. Council Tax 2023/24</w:t>
      </w:r>
    </w:p>
    <w:p w14:paraId="26E4C68C" w14:textId="77777777" w:rsidR="00E04CB2" w:rsidRPr="003A3D06" w:rsidRDefault="00E04CB2" w:rsidP="00E04CB2">
      <w:pPr>
        <w:spacing w:after="0"/>
        <w:jc w:val="both"/>
        <w:rPr>
          <w:rFonts w:cs="Arial"/>
          <w:b/>
          <w:szCs w:val="24"/>
        </w:rPr>
      </w:pPr>
    </w:p>
    <w:p w14:paraId="31A1B5BD" w14:textId="3E3CFA18" w:rsidR="00E04CB2" w:rsidRPr="003A3D06" w:rsidRDefault="00E04CB2" w:rsidP="00E04CB2">
      <w:pPr>
        <w:spacing w:after="0"/>
        <w:jc w:val="both"/>
        <w:rPr>
          <w:rFonts w:cs="Arial"/>
        </w:rPr>
      </w:pPr>
      <w:r w:rsidRPr="003A3D06">
        <w:rPr>
          <w:rFonts w:cs="Arial"/>
        </w:rPr>
        <w:t xml:space="preserve">Full </w:t>
      </w:r>
      <w:r w:rsidR="005A2610">
        <w:rPr>
          <w:rFonts w:cs="Arial"/>
        </w:rPr>
        <w:t>C</w:t>
      </w:r>
      <w:r w:rsidRPr="003A3D06">
        <w:rPr>
          <w:rFonts w:cs="Arial"/>
        </w:rPr>
        <w:t xml:space="preserve">ouncil is advised that the </w:t>
      </w:r>
      <w:r w:rsidR="005A2610">
        <w:rPr>
          <w:rFonts w:cs="Arial"/>
        </w:rPr>
        <w:t>B</w:t>
      </w:r>
      <w:r w:rsidRPr="003A3D06">
        <w:rPr>
          <w:rFonts w:cs="Arial"/>
        </w:rPr>
        <w:t>and D council tax for 202</w:t>
      </w:r>
      <w:r w:rsidR="003A2986">
        <w:rPr>
          <w:rFonts w:cs="Arial"/>
        </w:rPr>
        <w:t>3/24</w:t>
      </w:r>
      <w:r w:rsidRPr="003A3D06">
        <w:rPr>
          <w:rFonts w:cs="Arial"/>
        </w:rPr>
        <w:t xml:space="preserve"> be increased by 3.99%. This includes the additional </w:t>
      </w:r>
      <w:r>
        <w:rPr>
          <w:rFonts w:cs="Arial"/>
        </w:rPr>
        <w:t>2</w:t>
      </w:r>
      <w:r w:rsidRPr="003A3D06">
        <w:rPr>
          <w:rFonts w:cs="Arial"/>
        </w:rPr>
        <w:t xml:space="preserve">% Adult Social Care Precept </w:t>
      </w:r>
      <w:r>
        <w:rPr>
          <w:rFonts w:cs="Arial"/>
        </w:rPr>
        <w:t>permitted</w:t>
      </w:r>
      <w:r w:rsidRPr="003A3D06">
        <w:rPr>
          <w:rFonts w:cs="Arial"/>
        </w:rPr>
        <w:t xml:space="preserve"> for 202</w:t>
      </w:r>
      <w:r>
        <w:rPr>
          <w:rFonts w:cs="Arial"/>
        </w:rPr>
        <w:t>3</w:t>
      </w:r>
      <w:r w:rsidRPr="003A3D06">
        <w:rPr>
          <w:rFonts w:cs="Arial"/>
        </w:rPr>
        <w:t>/2</w:t>
      </w:r>
      <w:r>
        <w:rPr>
          <w:rFonts w:cs="Arial"/>
        </w:rPr>
        <w:t>4</w:t>
      </w:r>
      <w:r w:rsidRPr="003A3D06">
        <w:rPr>
          <w:rFonts w:cs="Arial"/>
        </w:rPr>
        <w:t xml:space="preserve">. The impact of these increases is: </w:t>
      </w:r>
    </w:p>
    <w:p w14:paraId="23C5D513" w14:textId="77777777" w:rsidR="00E04CB2" w:rsidRPr="008B4A55" w:rsidRDefault="00E04CB2" w:rsidP="00E04CB2">
      <w:pPr>
        <w:spacing w:after="0"/>
        <w:jc w:val="both"/>
        <w:rPr>
          <w:rFonts w:cs="Arial"/>
          <w:szCs w:val="24"/>
          <w:highlight w:val="yellow"/>
        </w:rPr>
      </w:pPr>
    </w:p>
    <w:p w14:paraId="778C0354" w14:textId="17D011F2" w:rsidR="00E04CB2" w:rsidRPr="00321C4D" w:rsidRDefault="00E04CB2" w:rsidP="00E04CB2">
      <w:pPr>
        <w:spacing w:after="0"/>
        <w:jc w:val="both"/>
        <w:rPr>
          <w:rFonts w:cs="Arial"/>
          <w:b/>
          <w:i/>
          <w:iCs/>
          <w:u w:val="single"/>
        </w:rPr>
      </w:pPr>
      <w:r w:rsidRPr="00321C4D">
        <w:rPr>
          <w:rFonts w:cs="Arial"/>
          <w:b/>
          <w:i/>
          <w:iCs/>
          <w:u w:val="single"/>
        </w:rPr>
        <w:t xml:space="preserve">Table </w:t>
      </w:r>
      <w:r w:rsidR="00403E25">
        <w:rPr>
          <w:rFonts w:cs="Arial"/>
          <w:b/>
          <w:bCs/>
          <w:i/>
          <w:iCs/>
          <w:u w:val="single"/>
        </w:rPr>
        <w:t>3</w:t>
      </w:r>
    </w:p>
    <w:p w14:paraId="5168AE04" w14:textId="77777777" w:rsidR="00E04CB2" w:rsidRPr="008B4A55" w:rsidRDefault="00E04CB2" w:rsidP="00E04CB2">
      <w:pPr>
        <w:spacing w:after="0"/>
        <w:jc w:val="both"/>
        <w:rPr>
          <w:rFonts w:cs="Arial"/>
          <w:b/>
          <w:szCs w:val="24"/>
          <w:highlight w:val="yellow"/>
          <w:u w:val="single"/>
        </w:rPr>
      </w:pPr>
    </w:p>
    <w:tbl>
      <w:tblPr>
        <w:tblStyle w:val="TableGrid"/>
        <w:tblW w:w="0" w:type="auto"/>
        <w:tblLook w:val="04A0" w:firstRow="1" w:lastRow="0" w:firstColumn="1" w:lastColumn="0" w:noHBand="0" w:noVBand="1"/>
      </w:tblPr>
      <w:tblGrid>
        <w:gridCol w:w="4165"/>
        <w:gridCol w:w="2152"/>
        <w:gridCol w:w="2609"/>
      </w:tblGrid>
      <w:tr w:rsidR="00E04CB2" w:rsidRPr="008B4A55" w14:paraId="257ED7AC" w14:textId="77777777">
        <w:trPr>
          <w:trHeight w:val="471"/>
        </w:trPr>
        <w:tc>
          <w:tcPr>
            <w:tcW w:w="4165" w:type="dxa"/>
            <w:shd w:val="clear" w:color="auto" w:fill="BFBFBF" w:themeFill="background1" w:themeFillShade="BF"/>
          </w:tcPr>
          <w:p w14:paraId="37E8BD13" w14:textId="77777777" w:rsidR="00E04CB2" w:rsidRPr="008B4A55" w:rsidRDefault="00E04CB2">
            <w:pPr>
              <w:jc w:val="both"/>
              <w:rPr>
                <w:rFonts w:cs="Arial"/>
                <w:b/>
                <w:szCs w:val="24"/>
                <w:highlight w:val="yellow"/>
              </w:rPr>
            </w:pPr>
          </w:p>
        </w:tc>
        <w:tc>
          <w:tcPr>
            <w:tcW w:w="2152" w:type="dxa"/>
            <w:shd w:val="clear" w:color="auto" w:fill="BFBFBF" w:themeFill="background1" w:themeFillShade="BF"/>
            <w:vAlign w:val="center"/>
          </w:tcPr>
          <w:p w14:paraId="76AA51C6" w14:textId="77777777" w:rsidR="00E04CB2" w:rsidRPr="00321C4D" w:rsidRDefault="00E04CB2">
            <w:pPr>
              <w:jc w:val="center"/>
              <w:rPr>
                <w:rFonts w:cs="Arial"/>
                <w:b/>
                <w:szCs w:val="24"/>
              </w:rPr>
            </w:pPr>
            <w:r w:rsidRPr="00321C4D">
              <w:rPr>
                <w:rFonts w:cs="Arial"/>
                <w:b/>
                <w:szCs w:val="24"/>
              </w:rPr>
              <w:t>Band D Council Tax</w:t>
            </w:r>
          </w:p>
        </w:tc>
        <w:tc>
          <w:tcPr>
            <w:tcW w:w="2609" w:type="dxa"/>
            <w:shd w:val="clear" w:color="auto" w:fill="BFBFBF" w:themeFill="background1" w:themeFillShade="BF"/>
            <w:vAlign w:val="center"/>
          </w:tcPr>
          <w:p w14:paraId="7F100AE4" w14:textId="39277032" w:rsidR="00E04CB2" w:rsidRPr="00321C4D" w:rsidRDefault="00E04CB2">
            <w:pPr>
              <w:jc w:val="center"/>
              <w:rPr>
                <w:rFonts w:cs="Arial"/>
                <w:b/>
                <w:szCs w:val="24"/>
              </w:rPr>
            </w:pPr>
            <w:r w:rsidRPr="00321C4D">
              <w:rPr>
                <w:rFonts w:cs="Arial"/>
                <w:b/>
                <w:szCs w:val="24"/>
              </w:rPr>
              <w:t>Council Tax income</w:t>
            </w:r>
          </w:p>
        </w:tc>
      </w:tr>
      <w:tr w:rsidR="006D3951" w:rsidRPr="008B4A55" w14:paraId="507EE9AE" w14:textId="77777777" w:rsidTr="006D3951">
        <w:trPr>
          <w:trHeight w:val="444"/>
        </w:trPr>
        <w:tc>
          <w:tcPr>
            <w:tcW w:w="4165" w:type="dxa"/>
            <w:vAlign w:val="center"/>
          </w:tcPr>
          <w:p w14:paraId="6D4A9459" w14:textId="77777777" w:rsidR="006D3951" w:rsidRPr="00321C4D" w:rsidRDefault="006D3951" w:rsidP="006D3951">
            <w:pPr>
              <w:rPr>
                <w:rFonts w:cs="Arial"/>
                <w:szCs w:val="24"/>
              </w:rPr>
            </w:pPr>
            <w:r w:rsidRPr="00321C4D">
              <w:rPr>
                <w:rFonts w:cs="Arial"/>
                <w:szCs w:val="24"/>
              </w:rPr>
              <w:t>General Council Tax increase at 1.99%</w:t>
            </w:r>
          </w:p>
        </w:tc>
        <w:tc>
          <w:tcPr>
            <w:tcW w:w="2152" w:type="dxa"/>
            <w:vAlign w:val="center"/>
          </w:tcPr>
          <w:p w14:paraId="612A0DF2" w14:textId="77777777" w:rsidR="006D3951" w:rsidRPr="00C13D7A" w:rsidRDefault="006D3951" w:rsidP="006D3951">
            <w:pPr>
              <w:jc w:val="right"/>
              <w:rPr>
                <w:rFonts w:cs="Arial"/>
                <w:szCs w:val="24"/>
              </w:rPr>
            </w:pPr>
            <w:r w:rsidRPr="00C13D7A">
              <w:rPr>
                <w:rFonts w:cs="Arial"/>
                <w:szCs w:val="24"/>
              </w:rPr>
              <w:t>£30.13</w:t>
            </w:r>
          </w:p>
        </w:tc>
        <w:tc>
          <w:tcPr>
            <w:tcW w:w="2609" w:type="dxa"/>
            <w:vAlign w:val="center"/>
          </w:tcPr>
          <w:p w14:paraId="2565E13F" w14:textId="77777777" w:rsidR="006D3951" w:rsidRPr="00C13D7A" w:rsidRDefault="006D3951" w:rsidP="006D3951">
            <w:pPr>
              <w:jc w:val="right"/>
              <w:rPr>
                <w:rFonts w:cs="Arial"/>
                <w:szCs w:val="24"/>
              </w:rPr>
            </w:pPr>
            <w:r w:rsidRPr="00C13D7A">
              <w:rPr>
                <w:rFonts w:cs="Arial"/>
                <w:szCs w:val="24"/>
              </w:rPr>
              <w:t>£11.56</w:t>
            </w:r>
            <w:r>
              <w:rPr>
                <w:rFonts w:cs="Arial"/>
                <w:szCs w:val="24"/>
              </w:rPr>
              <w:t>5</w:t>
            </w:r>
            <w:r w:rsidRPr="00C13D7A">
              <w:rPr>
                <w:rFonts w:cs="Arial"/>
                <w:szCs w:val="24"/>
              </w:rPr>
              <w:t>m</w:t>
            </w:r>
          </w:p>
        </w:tc>
      </w:tr>
      <w:tr w:rsidR="00E04CB2" w:rsidRPr="008B4A55" w14:paraId="56DBB0D4" w14:textId="77777777" w:rsidTr="006D3951">
        <w:trPr>
          <w:trHeight w:val="405"/>
        </w:trPr>
        <w:tc>
          <w:tcPr>
            <w:tcW w:w="4165" w:type="dxa"/>
            <w:vAlign w:val="center"/>
          </w:tcPr>
          <w:p w14:paraId="0E24AB4B" w14:textId="77777777" w:rsidR="00E04CB2" w:rsidRPr="00321C4D" w:rsidRDefault="00E04CB2" w:rsidP="006D3951">
            <w:pPr>
              <w:rPr>
                <w:rFonts w:cs="Arial"/>
                <w:szCs w:val="24"/>
              </w:rPr>
            </w:pPr>
            <w:r w:rsidRPr="00321C4D">
              <w:rPr>
                <w:rFonts w:cs="Arial"/>
                <w:szCs w:val="24"/>
              </w:rPr>
              <w:t>Adult Social Care Precept increase at 2%</w:t>
            </w:r>
          </w:p>
        </w:tc>
        <w:tc>
          <w:tcPr>
            <w:tcW w:w="2152" w:type="dxa"/>
            <w:shd w:val="clear" w:color="auto" w:fill="auto"/>
            <w:vAlign w:val="center"/>
          </w:tcPr>
          <w:p w14:paraId="2FCC0C80" w14:textId="77777777" w:rsidR="00E04CB2" w:rsidRPr="00C13D7A" w:rsidRDefault="00E04CB2" w:rsidP="006D3951">
            <w:pPr>
              <w:jc w:val="right"/>
              <w:rPr>
                <w:rFonts w:cs="Arial"/>
                <w:szCs w:val="24"/>
              </w:rPr>
            </w:pPr>
            <w:r w:rsidRPr="00C13D7A">
              <w:rPr>
                <w:rFonts w:cs="Arial"/>
                <w:szCs w:val="24"/>
              </w:rPr>
              <w:t>£30.29</w:t>
            </w:r>
          </w:p>
        </w:tc>
        <w:tc>
          <w:tcPr>
            <w:tcW w:w="2609" w:type="dxa"/>
            <w:shd w:val="clear" w:color="auto" w:fill="auto"/>
            <w:vAlign w:val="center"/>
          </w:tcPr>
          <w:p w14:paraId="42086371" w14:textId="5D5E847D" w:rsidR="00E04CB2" w:rsidRPr="00C13D7A" w:rsidRDefault="00E04CB2" w:rsidP="006D3951">
            <w:pPr>
              <w:jc w:val="right"/>
              <w:rPr>
                <w:rFonts w:cs="Arial"/>
                <w:szCs w:val="24"/>
              </w:rPr>
            </w:pPr>
            <w:r w:rsidRPr="00C13D7A">
              <w:rPr>
                <w:rFonts w:cs="Arial"/>
                <w:szCs w:val="24"/>
              </w:rPr>
              <w:t>£11.6</w:t>
            </w:r>
            <w:r w:rsidR="003A2986">
              <w:rPr>
                <w:rFonts w:cs="Arial"/>
                <w:szCs w:val="24"/>
              </w:rPr>
              <w:t>26</w:t>
            </w:r>
            <w:r w:rsidRPr="00C13D7A">
              <w:rPr>
                <w:rFonts w:cs="Arial"/>
                <w:szCs w:val="24"/>
              </w:rPr>
              <w:t>m</w:t>
            </w:r>
          </w:p>
        </w:tc>
      </w:tr>
    </w:tbl>
    <w:p w14:paraId="2065830A" w14:textId="77777777" w:rsidR="00E04CB2" w:rsidRPr="008B4A55" w:rsidRDefault="00E04CB2" w:rsidP="00E04CB2">
      <w:pPr>
        <w:spacing w:after="0"/>
        <w:jc w:val="both"/>
        <w:rPr>
          <w:rFonts w:cs="Arial"/>
          <w:szCs w:val="24"/>
          <w:highlight w:val="yellow"/>
        </w:rPr>
      </w:pPr>
    </w:p>
    <w:p w14:paraId="7160E634" w14:textId="77777777" w:rsidR="00E04CB2" w:rsidRPr="00321C4D" w:rsidRDefault="00E04CB2" w:rsidP="00E04CB2">
      <w:pPr>
        <w:spacing w:after="0"/>
        <w:jc w:val="both"/>
        <w:rPr>
          <w:rFonts w:cs="Arial"/>
          <w:szCs w:val="24"/>
        </w:rPr>
      </w:pPr>
      <w:r w:rsidRPr="00321C4D">
        <w:rPr>
          <w:rFonts w:cs="Arial"/>
          <w:szCs w:val="24"/>
        </w:rPr>
        <w:t>The overall position is summarised as follows:</w:t>
      </w:r>
    </w:p>
    <w:p w14:paraId="2D6C5559" w14:textId="77777777" w:rsidR="00E04CB2" w:rsidRPr="009D2C07" w:rsidRDefault="00E04CB2" w:rsidP="00E04CB2">
      <w:pPr>
        <w:spacing w:after="0"/>
        <w:jc w:val="both"/>
        <w:rPr>
          <w:rFonts w:cs="Arial"/>
          <w:i/>
          <w:iCs/>
          <w:szCs w:val="24"/>
        </w:rPr>
      </w:pPr>
    </w:p>
    <w:p w14:paraId="27887C78" w14:textId="119338D0" w:rsidR="00403E25" w:rsidRPr="009D2C07" w:rsidRDefault="00E04CB2" w:rsidP="00E04CB2">
      <w:pPr>
        <w:spacing w:after="0"/>
        <w:rPr>
          <w:rFonts w:cs="Arial"/>
          <w:b/>
          <w:i/>
          <w:iCs/>
          <w:szCs w:val="24"/>
          <w:u w:val="single"/>
        </w:rPr>
      </w:pPr>
      <w:r w:rsidRPr="009D2C07">
        <w:rPr>
          <w:rFonts w:cs="Arial"/>
          <w:b/>
          <w:i/>
          <w:iCs/>
          <w:szCs w:val="24"/>
          <w:u w:val="single"/>
        </w:rPr>
        <w:t xml:space="preserve">Table </w:t>
      </w:r>
      <w:r w:rsidR="00403E25">
        <w:rPr>
          <w:rFonts w:cs="Arial"/>
          <w:b/>
          <w:i/>
          <w:iCs/>
          <w:szCs w:val="24"/>
          <w:u w:val="single"/>
        </w:rPr>
        <w:t>4</w:t>
      </w:r>
    </w:p>
    <w:p w14:paraId="64D76A0E" w14:textId="77777777" w:rsidR="00E04CB2" w:rsidRPr="008B4A55" w:rsidRDefault="00E04CB2" w:rsidP="00E04CB2">
      <w:pPr>
        <w:spacing w:after="0"/>
        <w:rPr>
          <w:rFonts w:cs="Arial"/>
          <w:b/>
          <w:szCs w:val="24"/>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505"/>
      </w:tblGrid>
      <w:tr w:rsidR="003A2986" w:rsidRPr="00B01E2C" w14:paraId="2BC8DA9E" w14:textId="77777777">
        <w:trPr>
          <w:trHeight w:val="377"/>
          <w:jc w:val="center"/>
        </w:trPr>
        <w:tc>
          <w:tcPr>
            <w:tcW w:w="5681" w:type="dxa"/>
            <w:shd w:val="clear" w:color="auto" w:fill="BFBFBF"/>
            <w:vAlign w:val="center"/>
          </w:tcPr>
          <w:p w14:paraId="5CEFFB55" w14:textId="77777777" w:rsidR="003A2986" w:rsidRPr="00B01E2C" w:rsidRDefault="003A2986">
            <w:pPr>
              <w:autoSpaceDE w:val="0"/>
              <w:autoSpaceDN w:val="0"/>
              <w:adjustRightInd w:val="0"/>
              <w:jc w:val="center"/>
              <w:rPr>
                <w:rFonts w:cs="Arial"/>
                <w:b/>
                <w:szCs w:val="24"/>
                <w:highlight w:val="yellow"/>
              </w:rPr>
            </w:pPr>
          </w:p>
        </w:tc>
        <w:tc>
          <w:tcPr>
            <w:tcW w:w="2505" w:type="dxa"/>
            <w:shd w:val="clear" w:color="auto" w:fill="BFBFBF"/>
            <w:vAlign w:val="center"/>
          </w:tcPr>
          <w:p w14:paraId="7D89D54D" w14:textId="77777777" w:rsidR="003A2986" w:rsidRPr="00B01E2C" w:rsidRDefault="003A2986">
            <w:pPr>
              <w:autoSpaceDE w:val="0"/>
              <w:autoSpaceDN w:val="0"/>
              <w:adjustRightInd w:val="0"/>
              <w:jc w:val="center"/>
              <w:rPr>
                <w:rFonts w:cs="Arial"/>
                <w:b/>
                <w:szCs w:val="24"/>
                <w:highlight w:val="yellow"/>
              </w:rPr>
            </w:pPr>
            <w:r w:rsidRPr="00B01E2C">
              <w:rPr>
                <w:rFonts w:cs="Arial"/>
                <w:b/>
                <w:szCs w:val="24"/>
              </w:rPr>
              <w:t>£m</w:t>
            </w:r>
          </w:p>
        </w:tc>
      </w:tr>
      <w:tr w:rsidR="003A2986" w:rsidRPr="00B01E2C" w14:paraId="1E979274" w14:textId="77777777">
        <w:trPr>
          <w:trHeight w:val="377"/>
          <w:jc w:val="center"/>
        </w:trPr>
        <w:tc>
          <w:tcPr>
            <w:tcW w:w="5681" w:type="dxa"/>
            <w:shd w:val="clear" w:color="auto" w:fill="BFBFBF"/>
            <w:vAlign w:val="center"/>
          </w:tcPr>
          <w:p w14:paraId="5377ABC0" w14:textId="77777777" w:rsidR="003A2986" w:rsidRPr="00B01E2C" w:rsidRDefault="003A2986" w:rsidP="005A2610">
            <w:pPr>
              <w:autoSpaceDE w:val="0"/>
              <w:autoSpaceDN w:val="0"/>
              <w:adjustRightInd w:val="0"/>
              <w:spacing w:after="0"/>
              <w:rPr>
                <w:rFonts w:cs="Arial"/>
                <w:b/>
                <w:szCs w:val="24"/>
              </w:rPr>
            </w:pPr>
            <w:r w:rsidRPr="00B01E2C">
              <w:rPr>
                <w:rFonts w:cs="Arial"/>
                <w:b/>
                <w:szCs w:val="24"/>
              </w:rPr>
              <w:t>Budget Requirement</w:t>
            </w:r>
          </w:p>
        </w:tc>
        <w:tc>
          <w:tcPr>
            <w:tcW w:w="2505" w:type="dxa"/>
            <w:shd w:val="clear" w:color="auto" w:fill="BFBFBF"/>
            <w:vAlign w:val="center"/>
          </w:tcPr>
          <w:p w14:paraId="3104C21D" w14:textId="77777777" w:rsidR="003A2986" w:rsidRPr="00B01E2C" w:rsidRDefault="003A2986" w:rsidP="005A2610">
            <w:pPr>
              <w:autoSpaceDE w:val="0"/>
              <w:autoSpaceDN w:val="0"/>
              <w:adjustRightInd w:val="0"/>
              <w:spacing w:after="0"/>
              <w:jc w:val="right"/>
              <w:rPr>
                <w:rFonts w:cs="Arial"/>
                <w:b/>
                <w:szCs w:val="24"/>
              </w:rPr>
            </w:pPr>
            <w:r w:rsidRPr="00B01E2C">
              <w:rPr>
                <w:rFonts w:cs="Arial"/>
                <w:b/>
                <w:szCs w:val="24"/>
              </w:rPr>
              <w:t>1</w:t>
            </w:r>
            <w:r>
              <w:rPr>
                <w:rFonts w:cs="Arial"/>
                <w:b/>
                <w:szCs w:val="24"/>
              </w:rPr>
              <w:t>,</w:t>
            </w:r>
            <w:r w:rsidRPr="00B01E2C">
              <w:rPr>
                <w:rFonts w:cs="Arial"/>
                <w:b/>
                <w:szCs w:val="24"/>
              </w:rPr>
              <w:t>035.</w:t>
            </w:r>
            <w:r>
              <w:rPr>
                <w:rFonts w:cs="Arial"/>
                <w:b/>
                <w:szCs w:val="24"/>
              </w:rPr>
              <w:t>977</w:t>
            </w:r>
          </w:p>
        </w:tc>
      </w:tr>
      <w:tr w:rsidR="003A2986" w:rsidRPr="00B01E2C" w14:paraId="0BCA3352" w14:textId="77777777">
        <w:trPr>
          <w:trHeight w:val="377"/>
          <w:jc w:val="center"/>
        </w:trPr>
        <w:tc>
          <w:tcPr>
            <w:tcW w:w="5681" w:type="dxa"/>
            <w:shd w:val="clear" w:color="auto" w:fill="auto"/>
            <w:vAlign w:val="center"/>
          </w:tcPr>
          <w:p w14:paraId="37DA1D4B" w14:textId="77777777" w:rsidR="003A2986" w:rsidRPr="00B01E2C" w:rsidRDefault="003A2986" w:rsidP="003A2986">
            <w:pPr>
              <w:autoSpaceDE w:val="0"/>
              <w:autoSpaceDN w:val="0"/>
              <w:adjustRightInd w:val="0"/>
              <w:spacing w:after="0"/>
              <w:rPr>
                <w:rFonts w:cs="Arial"/>
                <w:szCs w:val="24"/>
              </w:rPr>
            </w:pPr>
            <w:r w:rsidRPr="00B01E2C">
              <w:rPr>
                <w:rFonts w:cs="Arial"/>
                <w:szCs w:val="24"/>
              </w:rPr>
              <w:t>Less Revenue Support Grant</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5A2A614" w14:textId="77777777" w:rsidR="003A2986" w:rsidRPr="00B01E2C" w:rsidRDefault="003A2986" w:rsidP="003A2986">
            <w:pPr>
              <w:autoSpaceDE w:val="0"/>
              <w:autoSpaceDN w:val="0"/>
              <w:adjustRightInd w:val="0"/>
              <w:spacing w:after="0"/>
              <w:jc w:val="right"/>
              <w:rPr>
                <w:rFonts w:cs="Arial"/>
                <w:szCs w:val="24"/>
              </w:rPr>
            </w:pPr>
            <w:r w:rsidRPr="00B01E2C">
              <w:t>38.206</w:t>
            </w:r>
          </w:p>
        </w:tc>
      </w:tr>
      <w:tr w:rsidR="003A2986" w:rsidRPr="00B01E2C" w14:paraId="1885282E" w14:textId="77777777">
        <w:trPr>
          <w:trHeight w:val="400"/>
          <w:jc w:val="center"/>
        </w:trPr>
        <w:tc>
          <w:tcPr>
            <w:tcW w:w="5681" w:type="dxa"/>
            <w:shd w:val="clear" w:color="auto" w:fill="auto"/>
            <w:vAlign w:val="center"/>
          </w:tcPr>
          <w:p w14:paraId="671F9366" w14:textId="77777777" w:rsidR="003A2986" w:rsidRPr="00B01E2C" w:rsidRDefault="003A2986" w:rsidP="003A2986">
            <w:pPr>
              <w:autoSpaceDE w:val="0"/>
              <w:autoSpaceDN w:val="0"/>
              <w:adjustRightInd w:val="0"/>
              <w:spacing w:after="0"/>
              <w:rPr>
                <w:rFonts w:cs="Arial"/>
                <w:szCs w:val="24"/>
              </w:rPr>
            </w:pPr>
            <w:r w:rsidRPr="00B01E2C">
              <w:rPr>
                <w:rFonts w:cs="Arial"/>
                <w:color w:val="000000"/>
                <w:szCs w:val="24"/>
              </w:rPr>
              <w:t>Less Business Rates</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1669C40" w14:textId="77777777" w:rsidR="003A2986" w:rsidRPr="00B01E2C" w:rsidRDefault="003A2986" w:rsidP="003A2986">
            <w:pPr>
              <w:autoSpaceDE w:val="0"/>
              <w:autoSpaceDN w:val="0"/>
              <w:adjustRightInd w:val="0"/>
              <w:spacing w:after="0"/>
              <w:jc w:val="right"/>
              <w:rPr>
                <w:rFonts w:cs="Arial"/>
                <w:szCs w:val="24"/>
              </w:rPr>
            </w:pPr>
            <w:r w:rsidRPr="00B01E2C">
              <w:t>232.789</w:t>
            </w:r>
          </w:p>
        </w:tc>
      </w:tr>
      <w:tr w:rsidR="003A2986" w:rsidRPr="00B01E2C" w14:paraId="4594230F" w14:textId="77777777">
        <w:trPr>
          <w:trHeight w:val="400"/>
          <w:jc w:val="center"/>
        </w:trPr>
        <w:tc>
          <w:tcPr>
            <w:tcW w:w="5681" w:type="dxa"/>
            <w:shd w:val="clear" w:color="auto" w:fill="auto"/>
            <w:vAlign w:val="center"/>
          </w:tcPr>
          <w:p w14:paraId="476339E3" w14:textId="77777777" w:rsidR="003A2986" w:rsidRPr="00B01E2C" w:rsidRDefault="003A2986" w:rsidP="003A2986">
            <w:pPr>
              <w:autoSpaceDE w:val="0"/>
              <w:autoSpaceDN w:val="0"/>
              <w:adjustRightInd w:val="0"/>
              <w:spacing w:after="0"/>
              <w:rPr>
                <w:rFonts w:cs="Arial"/>
                <w:szCs w:val="24"/>
              </w:rPr>
            </w:pPr>
            <w:r w:rsidRPr="00B01E2C">
              <w:rPr>
                <w:rFonts w:cs="Arial"/>
                <w:color w:val="000000"/>
                <w:szCs w:val="24"/>
              </w:rPr>
              <w:t>Less New Homes Bonus</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4B096C0" w14:textId="77777777" w:rsidR="003A2986" w:rsidRPr="00B01E2C" w:rsidRDefault="003A2986" w:rsidP="003A2986">
            <w:pPr>
              <w:autoSpaceDE w:val="0"/>
              <w:autoSpaceDN w:val="0"/>
              <w:adjustRightInd w:val="0"/>
              <w:spacing w:after="0"/>
              <w:jc w:val="right"/>
              <w:rPr>
                <w:rFonts w:cs="Arial"/>
                <w:szCs w:val="24"/>
              </w:rPr>
            </w:pPr>
            <w:r w:rsidRPr="00B01E2C">
              <w:t>1.482</w:t>
            </w:r>
          </w:p>
        </w:tc>
      </w:tr>
      <w:tr w:rsidR="003A2986" w:rsidRPr="00B01E2C" w14:paraId="5167A65A" w14:textId="77777777">
        <w:trPr>
          <w:trHeight w:val="400"/>
          <w:jc w:val="center"/>
        </w:trPr>
        <w:tc>
          <w:tcPr>
            <w:tcW w:w="5681" w:type="dxa"/>
            <w:shd w:val="clear" w:color="auto" w:fill="auto"/>
            <w:vAlign w:val="center"/>
          </w:tcPr>
          <w:p w14:paraId="5F11D216" w14:textId="77777777" w:rsidR="003A2986" w:rsidRPr="00B01E2C" w:rsidRDefault="003A2986" w:rsidP="003A2986">
            <w:pPr>
              <w:autoSpaceDE w:val="0"/>
              <w:autoSpaceDN w:val="0"/>
              <w:adjustRightInd w:val="0"/>
              <w:spacing w:after="0"/>
              <w:rPr>
                <w:rFonts w:cs="Arial"/>
                <w:szCs w:val="24"/>
              </w:rPr>
            </w:pPr>
            <w:r w:rsidRPr="00B01E2C">
              <w:rPr>
                <w:rFonts w:cs="Arial"/>
                <w:color w:val="000000"/>
                <w:szCs w:val="24"/>
              </w:rPr>
              <w:t>Less Improved Better Care Fund</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9B57573" w14:textId="77777777" w:rsidR="003A2986" w:rsidRPr="00B01E2C" w:rsidRDefault="003A2986" w:rsidP="003A2986">
            <w:pPr>
              <w:autoSpaceDE w:val="0"/>
              <w:autoSpaceDN w:val="0"/>
              <w:adjustRightInd w:val="0"/>
              <w:spacing w:after="0"/>
              <w:jc w:val="right"/>
              <w:rPr>
                <w:rFonts w:cs="Arial"/>
                <w:szCs w:val="24"/>
              </w:rPr>
            </w:pPr>
            <w:r w:rsidRPr="00B01E2C">
              <w:t>47.145</w:t>
            </w:r>
          </w:p>
        </w:tc>
      </w:tr>
      <w:tr w:rsidR="003A2986" w:rsidRPr="00B01E2C" w14:paraId="1BB26745" w14:textId="77777777">
        <w:trPr>
          <w:trHeight w:val="400"/>
          <w:jc w:val="center"/>
        </w:trPr>
        <w:tc>
          <w:tcPr>
            <w:tcW w:w="5681" w:type="dxa"/>
            <w:shd w:val="clear" w:color="auto" w:fill="auto"/>
            <w:vAlign w:val="center"/>
          </w:tcPr>
          <w:p w14:paraId="1065A1EA" w14:textId="77777777" w:rsidR="003A2986" w:rsidRPr="00B01E2C" w:rsidRDefault="003A2986" w:rsidP="003A2986">
            <w:pPr>
              <w:autoSpaceDE w:val="0"/>
              <w:autoSpaceDN w:val="0"/>
              <w:adjustRightInd w:val="0"/>
              <w:spacing w:after="0"/>
              <w:rPr>
                <w:rFonts w:cs="Arial"/>
                <w:szCs w:val="24"/>
              </w:rPr>
            </w:pPr>
            <w:r w:rsidRPr="00B01E2C">
              <w:rPr>
                <w:rFonts w:cs="Arial"/>
                <w:color w:val="000000"/>
                <w:szCs w:val="24"/>
              </w:rPr>
              <w:t>Less Social Care Grant</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260151F8" w14:textId="77777777" w:rsidR="003A2986" w:rsidRPr="00B01E2C" w:rsidRDefault="003A2986" w:rsidP="003A2986">
            <w:pPr>
              <w:autoSpaceDE w:val="0"/>
              <w:autoSpaceDN w:val="0"/>
              <w:adjustRightInd w:val="0"/>
              <w:spacing w:after="0"/>
              <w:jc w:val="right"/>
              <w:rPr>
                <w:rFonts w:cs="Arial"/>
                <w:szCs w:val="24"/>
              </w:rPr>
            </w:pPr>
            <w:r w:rsidRPr="00B01E2C">
              <w:t>94.579</w:t>
            </w:r>
          </w:p>
        </w:tc>
      </w:tr>
      <w:tr w:rsidR="003A2986" w:rsidRPr="00B01E2C" w14:paraId="686CBE1C" w14:textId="77777777">
        <w:trPr>
          <w:trHeight w:val="400"/>
          <w:jc w:val="center"/>
        </w:trPr>
        <w:tc>
          <w:tcPr>
            <w:tcW w:w="5681" w:type="dxa"/>
            <w:shd w:val="clear" w:color="auto" w:fill="auto"/>
            <w:vAlign w:val="center"/>
          </w:tcPr>
          <w:p w14:paraId="2630832E" w14:textId="77777777" w:rsidR="003A2986" w:rsidRPr="00B01E2C" w:rsidRDefault="003A2986" w:rsidP="003A2986">
            <w:pPr>
              <w:autoSpaceDE w:val="0"/>
              <w:autoSpaceDN w:val="0"/>
              <w:adjustRightInd w:val="0"/>
              <w:spacing w:after="0"/>
              <w:rPr>
                <w:rFonts w:cs="Arial"/>
                <w:szCs w:val="24"/>
              </w:rPr>
            </w:pPr>
            <w:r w:rsidRPr="00B01E2C">
              <w:rPr>
                <w:rFonts w:cs="Arial"/>
                <w:color w:val="000000"/>
                <w:szCs w:val="24"/>
              </w:rPr>
              <w:t xml:space="preserve">Less Collection Fund </w:t>
            </w: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2E254FA2" w14:textId="77777777" w:rsidR="003A2986" w:rsidRPr="00B01E2C" w:rsidRDefault="003A2986" w:rsidP="003A2986">
            <w:pPr>
              <w:autoSpaceDE w:val="0"/>
              <w:autoSpaceDN w:val="0"/>
              <w:adjustRightInd w:val="0"/>
              <w:spacing w:after="0"/>
              <w:jc w:val="right"/>
              <w:rPr>
                <w:rFonts w:cs="Arial"/>
                <w:szCs w:val="24"/>
              </w:rPr>
            </w:pPr>
            <w:r w:rsidRPr="00B01E2C">
              <w:t>5.000</w:t>
            </w:r>
          </w:p>
        </w:tc>
      </w:tr>
      <w:tr w:rsidR="003A2986" w:rsidRPr="00B01E2C" w14:paraId="76B86BA8" w14:textId="77777777">
        <w:trPr>
          <w:trHeight w:val="400"/>
          <w:jc w:val="center"/>
        </w:trPr>
        <w:tc>
          <w:tcPr>
            <w:tcW w:w="5681" w:type="dxa"/>
            <w:shd w:val="clear" w:color="auto" w:fill="auto"/>
            <w:vAlign w:val="center"/>
          </w:tcPr>
          <w:p w14:paraId="2EC62438" w14:textId="77777777" w:rsidR="003A2986" w:rsidRPr="00B01E2C" w:rsidRDefault="003A2986" w:rsidP="003A2986">
            <w:pPr>
              <w:autoSpaceDE w:val="0"/>
              <w:autoSpaceDN w:val="0"/>
              <w:adjustRightInd w:val="0"/>
              <w:spacing w:after="0"/>
              <w:rPr>
                <w:rFonts w:cs="Arial"/>
                <w:color w:val="000000"/>
                <w:szCs w:val="24"/>
              </w:rPr>
            </w:pPr>
            <w:r w:rsidRPr="00B01E2C">
              <w:rPr>
                <w:rFonts w:cs="Arial"/>
                <w:color w:val="000000"/>
                <w:szCs w:val="24"/>
              </w:rPr>
              <w:t>Less Capital Receipts</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2684F57" w14:textId="77777777" w:rsidR="003A2986" w:rsidRPr="00B01E2C" w:rsidRDefault="003A2986" w:rsidP="003A2986">
            <w:pPr>
              <w:autoSpaceDE w:val="0"/>
              <w:autoSpaceDN w:val="0"/>
              <w:adjustRightInd w:val="0"/>
              <w:spacing w:after="0"/>
              <w:jc w:val="right"/>
              <w:rPr>
                <w:rFonts w:cs="Arial"/>
                <w:color w:val="000000"/>
                <w:szCs w:val="24"/>
              </w:rPr>
            </w:pPr>
            <w:r w:rsidRPr="00B01E2C">
              <w:rPr>
                <w:rFonts w:cs="Arial"/>
                <w:color w:val="000000"/>
                <w:szCs w:val="24"/>
              </w:rPr>
              <w:t>5.000</w:t>
            </w:r>
          </w:p>
        </w:tc>
      </w:tr>
      <w:tr w:rsidR="003A2986" w:rsidRPr="00B01E2C" w14:paraId="5D82D058" w14:textId="77777777">
        <w:trPr>
          <w:trHeight w:val="400"/>
          <w:jc w:val="center"/>
        </w:trPr>
        <w:tc>
          <w:tcPr>
            <w:tcW w:w="5681" w:type="dxa"/>
            <w:shd w:val="clear" w:color="auto" w:fill="auto"/>
            <w:vAlign w:val="center"/>
          </w:tcPr>
          <w:p w14:paraId="1C070EF0" w14:textId="77777777" w:rsidR="003A2986" w:rsidRPr="00B01E2C" w:rsidRDefault="003A2986" w:rsidP="003A2986">
            <w:pPr>
              <w:autoSpaceDE w:val="0"/>
              <w:autoSpaceDN w:val="0"/>
              <w:adjustRightInd w:val="0"/>
              <w:spacing w:after="0"/>
              <w:rPr>
                <w:rFonts w:cs="Arial"/>
                <w:color w:val="000000"/>
                <w:szCs w:val="24"/>
              </w:rPr>
            </w:pPr>
            <w:r w:rsidRPr="00B01E2C">
              <w:rPr>
                <w:rFonts w:cs="Arial"/>
                <w:color w:val="000000"/>
                <w:szCs w:val="24"/>
              </w:rPr>
              <w:t>Less Services Grant</w:t>
            </w:r>
          </w:p>
        </w:tc>
        <w:tc>
          <w:tcPr>
            <w:tcW w:w="2505" w:type="dxa"/>
            <w:shd w:val="clear" w:color="auto" w:fill="auto"/>
            <w:vAlign w:val="center"/>
          </w:tcPr>
          <w:p w14:paraId="55D4BDD1" w14:textId="77777777" w:rsidR="003A2986" w:rsidRPr="00B01E2C" w:rsidRDefault="003A2986" w:rsidP="003A2986">
            <w:pPr>
              <w:autoSpaceDE w:val="0"/>
              <w:autoSpaceDN w:val="0"/>
              <w:adjustRightInd w:val="0"/>
              <w:spacing w:after="0"/>
              <w:jc w:val="right"/>
              <w:rPr>
                <w:rFonts w:cs="Arial"/>
                <w:color w:val="000000"/>
                <w:szCs w:val="24"/>
              </w:rPr>
            </w:pPr>
            <w:r w:rsidRPr="00B01E2C">
              <w:rPr>
                <w:rFonts w:cs="Arial"/>
                <w:color w:val="000000"/>
                <w:szCs w:val="24"/>
              </w:rPr>
              <w:t>7.360</w:t>
            </w:r>
          </w:p>
        </w:tc>
      </w:tr>
      <w:tr w:rsidR="003A2986" w:rsidRPr="00B01E2C" w14:paraId="2AEA079E" w14:textId="77777777">
        <w:trPr>
          <w:trHeight w:val="400"/>
          <w:jc w:val="center"/>
        </w:trPr>
        <w:tc>
          <w:tcPr>
            <w:tcW w:w="5681" w:type="dxa"/>
            <w:shd w:val="clear" w:color="auto" w:fill="auto"/>
            <w:vAlign w:val="center"/>
          </w:tcPr>
          <w:p w14:paraId="7E7F9C80" w14:textId="77777777" w:rsidR="003A2986" w:rsidRPr="00B01E2C" w:rsidRDefault="003A2986" w:rsidP="003A2986">
            <w:pPr>
              <w:autoSpaceDE w:val="0"/>
              <w:autoSpaceDN w:val="0"/>
              <w:adjustRightInd w:val="0"/>
              <w:spacing w:after="0"/>
              <w:rPr>
                <w:rFonts w:cs="Arial"/>
                <w:b/>
                <w:szCs w:val="24"/>
              </w:rPr>
            </w:pPr>
            <w:r w:rsidRPr="00B01E2C">
              <w:rPr>
                <w:rFonts w:cs="Arial"/>
                <w:b/>
                <w:szCs w:val="24"/>
              </w:rPr>
              <w:t>Equals council tax cash</w:t>
            </w:r>
          </w:p>
        </w:tc>
        <w:tc>
          <w:tcPr>
            <w:tcW w:w="2505" w:type="dxa"/>
            <w:shd w:val="clear" w:color="auto" w:fill="auto"/>
            <w:vAlign w:val="center"/>
          </w:tcPr>
          <w:p w14:paraId="00A3E738" w14:textId="77777777" w:rsidR="003A2986" w:rsidRPr="00B01E2C" w:rsidRDefault="003A2986" w:rsidP="003A2986">
            <w:pPr>
              <w:autoSpaceDE w:val="0"/>
              <w:autoSpaceDN w:val="0"/>
              <w:adjustRightInd w:val="0"/>
              <w:spacing w:after="0"/>
              <w:jc w:val="right"/>
              <w:rPr>
                <w:rFonts w:cs="Arial"/>
                <w:b/>
                <w:szCs w:val="24"/>
              </w:rPr>
            </w:pPr>
            <w:r w:rsidRPr="00B01E2C">
              <w:rPr>
                <w:rFonts w:cs="Arial"/>
                <w:b/>
                <w:szCs w:val="24"/>
              </w:rPr>
              <w:t>604.</w:t>
            </w:r>
            <w:r>
              <w:rPr>
                <w:rFonts w:cs="Arial"/>
                <w:b/>
                <w:szCs w:val="24"/>
              </w:rPr>
              <w:t>416</w:t>
            </w:r>
          </w:p>
        </w:tc>
      </w:tr>
      <w:tr w:rsidR="003A2986" w:rsidRPr="00B01E2C" w14:paraId="7ED6A2F0" w14:textId="77777777">
        <w:trPr>
          <w:trHeight w:val="400"/>
          <w:jc w:val="center"/>
        </w:trPr>
        <w:tc>
          <w:tcPr>
            <w:tcW w:w="5681" w:type="dxa"/>
            <w:shd w:val="clear" w:color="auto" w:fill="BFBFBF"/>
            <w:vAlign w:val="center"/>
          </w:tcPr>
          <w:p w14:paraId="6F32FBAF" w14:textId="77777777" w:rsidR="003A2986" w:rsidRPr="00B01E2C" w:rsidRDefault="003A2986" w:rsidP="003A2986">
            <w:pPr>
              <w:autoSpaceDE w:val="0"/>
              <w:autoSpaceDN w:val="0"/>
              <w:adjustRightInd w:val="0"/>
              <w:spacing w:after="0"/>
              <w:jc w:val="both"/>
              <w:rPr>
                <w:rFonts w:cs="Arial"/>
                <w:szCs w:val="24"/>
                <w:highlight w:val="yellow"/>
              </w:rPr>
            </w:pPr>
          </w:p>
        </w:tc>
        <w:tc>
          <w:tcPr>
            <w:tcW w:w="2505" w:type="dxa"/>
            <w:shd w:val="clear" w:color="auto" w:fill="BFBFBF"/>
            <w:vAlign w:val="center"/>
          </w:tcPr>
          <w:p w14:paraId="11EE5244" w14:textId="77777777" w:rsidR="003A2986" w:rsidRPr="00B01E2C" w:rsidRDefault="003A2986" w:rsidP="003A2986">
            <w:pPr>
              <w:autoSpaceDE w:val="0"/>
              <w:autoSpaceDN w:val="0"/>
              <w:adjustRightInd w:val="0"/>
              <w:spacing w:after="0"/>
              <w:jc w:val="right"/>
              <w:rPr>
                <w:rFonts w:cs="Arial"/>
                <w:szCs w:val="24"/>
                <w:highlight w:val="yellow"/>
              </w:rPr>
            </w:pPr>
          </w:p>
        </w:tc>
      </w:tr>
      <w:tr w:rsidR="003A2986" w:rsidRPr="00B01E2C" w14:paraId="51A59415" w14:textId="77777777">
        <w:trPr>
          <w:trHeight w:val="400"/>
          <w:jc w:val="center"/>
        </w:trPr>
        <w:tc>
          <w:tcPr>
            <w:tcW w:w="5681" w:type="dxa"/>
            <w:shd w:val="clear" w:color="auto" w:fill="auto"/>
            <w:vAlign w:val="center"/>
          </w:tcPr>
          <w:p w14:paraId="0B35BFC9" w14:textId="77777777" w:rsidR="003A2986" w:rsidRPr="00B01E2C" w:rsidRDefault="003A2986" w:rsidP="003A2986">
            <w:pPr>
              <w:autoSpaceDE w:val="0"/>
              <w:autoSpaceDN w:val="0"/>
              <w:adjustRightInd w:val="0"/>
              <w:spacing w:after="0"/>
              <w:jc w:val="both"/>
              <w:rPr>
                <w:rFonts w:cs="Arial"/>
                <w:szCs w:val="24"/>
              </w:rPr>
            </w:pPr>
            <w:r w:rsidRPr="00B01E2C">
              <w:rPr>
                <w:rFonts w:cs="Arial"/>
                <w:szCs w:val="24"/>
              </w:rPr>
              <w:t>Divided by tax base (estimate)</w:t>
            </w:r>
          </w:p>
        </w:tc>
        <w:tc>
          <w:tcPr>
            <w:tcW w:w="2505" w:type="dxa"/>
            <w:shd w:val="clear" w:color="auto" w:fill="auto"/>
            <w:vAlign w:val="center"/>
          </w:tcPr>
          <w:p w14:paraId="280B3965" w14:textId="77777777" w:rsidR="003A2986" w:rsidRPr="00B01E2C" w:rsidRDefault="003A2986" w:rsidP="003A2986">
            <w:pPr>
              <w:autoSpaceDE w:val="0"/>
              <w:autoSpaceDN w:val="0"/>
              <w:adjustRightInd w:val="0"/>
              <w:spacing w:after="0"/>
              <w:jc w:val="right"/>
              <w:rPr>
                <w:rFonts w:cs="Arial"/>
                <w:szCs w:val="24"/>
              </w:rPr>
            </w:pPr>
            <w:r w:rsidRPr="00B01E2C">
              <w:rPr>
                <w:rFonts w:cs="Arial"/>
                <w:szCs w:val="24"/>
              </w:rPr>
              <w:t>383,</w:t>
            </w:r>
            <w:r>
              <w:rPr>
                <w:rFonts w:cs="Arial"/>
                <w:szCs w:val="24"/>
              </w:rPr>
              <w:t>826.57</w:t>
            </w:r>
          </w:p>
        </w:tc>
      </w:tr>
      <w:tr w:rsidR="003A2986" w:rsidRPr="00B01E2C" w14:paraId="040CD393" w14:textId="77777777">
        <w:trPr>
          <w:trHeight w:val="400"/>
          <w:jc w:val="center"/>
        </w:trPr>
        <w:tc>
          <w:tcPr>
            <w:tcW w:w="5681" w:type="dxa"/>
            <w:shd w:val="clear" w:color="auto" w:fill="auto"/>
            <w:vAlign w:val="center"/>
          </w:tcPr>
          <w:p w14:paraId="582ED2E7" w14:textId="77777777" w:rsidR="003A2986" w:rsidRPr="00B01E2C" w:rsidRDefault="003A2986" w:rsidP="003A2986">
            <w:pPr>
              <w:autoSpaceDE w:val="0"/>
              <w:autoSpaceDN w:val="0"/>
              <w:adjustRightInd w:val="0"/>
              <w:spacing w:after="0"/>
              <w:jc w:val="both"/>
              <w:rPr>
                <w:rFonts w:cs="Arial"/>
                <w:szCs w:val="24"/>
              </w:rPr>
            </w:pPr>
            <w:r w:rsidRPr="00B01E2C">
              <w:rPr>
                <w:rFonts w:cs="Arial"/>
                <w:szCs w:val="24"/>
              </w:rPr>
              <w:t xml:space="preserve">Gives </w:t>
            </w:r>
            <w:r>
              <w:rPr>
                <w:rFonts w:cs="Arial"/>
                <w:szCs w:val="24"/>
              </w:rPr>
              <w:t xml:space="preserve">LCC </w:t>
            </w:r>
            <w:r w:rsidRPr="00B01E2C">
              <w:rPr>
                <w:rFonts w:cs="Arial"/>
                <w:szCs w:val="24"/>
              </w:rPr>
              <w:t>Band D council tax for 2023/24</w:t>
            </w:r>
          </w:p>
        </w:tc>
        <w:tc>
          <w:tcPr>
            <w:tcW w:w="2505" w:type="dxa"/>
            <w:shd w:val="clear" w:color="auto" w:fill="auto"/>
            <w:vAlign w:val="center"/>
          </w:tcPr>
          <w:p w14:paraId="175DC9A1" w14:textId="77777777" w:rsidR="003A2986" w:rsidRPr="00B01E2C" w:rsidRDefault="003A2986" w:rsidP="003A2986">
            <w:pPr>
              <w:autoSpaceDE w:val="0"/>
              <w:autoSpaceDN w:val="0"/>
              <w:adjustRightInd w:val="0"/>
              <w:spacing w:after="0"/>
              <w:jc w:val="right"/>
              <w:rPr>
                <w:rFonts w:cs="Arial"/>
                <w:szCs w:val="24"/>
              </w:rPr>
            </w:pPr>
            <w:r w:rsidRPr="00B01E2C">
              <w:rPr>
                <w:rFonts w:cs="Arial"/>
                <w:szCs w:val="24"/>
              </w:rPr>
              <w:t>£1,574.71</w:t>
            </w:r>
          </w:p>
        </w:tc>
      </w:tr>
      <w:tr w:rsidR="003A2986" w:rsidRPr="00B01E2C" w14:paraId="6E0CE1E6" w14:textId="77777777">
        <w:trPr>
          <w:trHeight w:val="400"/>
          <w:jc w:val="center"/>
        </w:trPr>
        <w:tc>
          <w:tcPr>
            <w:tcW w:w="5681" w:type="dxa"/>
            <w:shd w:val="clear" w:color="auto" w:fill="auto"/>
            <w:vAlign w:val="center"/>
          </w:tcPr>
          <w:p w14:paraId="7B1D56B6" w14:textId="77777777" w:rsidR="003A2986" w:rsidRPr="00B01E2C" w:rsidRDefault="003A2986" w:rsidP="003A2986">
            <w:pPr>
              <w:autoSpaceDE w:val="0"/>
              <w:autoSpaceDN w:val="0"/>
              <w:adjustRightInd w:val="0"/>
              <w:spacing w:after="0"/>
              <w:jc w:val="both"/>
              <w:rPr>
                <w:rFonts w:cs="Arial"/>
                <w:szCs w:val="24"/>
              </w:rPr>
            </w:pPr>
            <w:r>
              <w:rPr>
                <w:rFonts w:cs="Arial"/>
                <w:szCs w:val="24"/>
              </w:rPr>
              <w:t xml:space="preserve">LCC Band D </w:t>
            </w:r>
            <w:r w:rsidRPr="00B01E2C">
              <w:rPr>
                <w:rFonts w:cs="Arial"/>
                <w:szCs w:val="24"/>
              </w:rPr>
              <w:t>council tax</w:t>
            </w:r>
            <w:r>
              <w:rPr>
                <w:rFonts w:cs="Arial"/>
                <w:szCs w:val="24"/>
              </w:rPr>
              <w:t xml:space="preserve"> 2022/23</w:t>
            </w:r>
          </w:p>
        </w:tc>
        <w:tc>
          <w:tcPr>
            <w:tcW w:w="2505" w:type="dxa"/>
            <w:shd w:val="clear" w:color="auto" w:fill="auto"/>
            <w:vAlign w:val="center"/>
          </w:tcPr>
          <w:p w14:paraId="2F9479AE" w14:textId="77777777" w:rsidR="003A2986" w:rsidRPr="00B01E2C" w:rsidRDefault="003A2986" w:rsidP="003A2986">
            <w:pPr>
              <w:autoSpaceDE w:val="0"/>
              <w:autoSpaceDN w:val="0"/>
              <w:adjustRightInd w:val="0"/>
              <w:spacing w:after="0"/>
              <w:jc w:val="right"/>
              <w:rPr>
                <w:rFonts w:cs="Arial"/>
                <w:szCs w:val="24"/>
              </w:rPr>
            </w:pPr>
            <w:r w:rsidRPr="00B01E2C">
              <w:rPr>
                <w:rFonts w:cs="Arial"/>
                <w:szCs w:val="24"/>
              </w:rPr>
              <w:t>£1,514.29</w:t>
            </w:r>
          </w:p>
        </w:tc>
      </w:tr>
      <w:tr w:rsidR="003A2986" w:rsidRPr="00B01E2C" w14:paraId="73262D85" w14:textId="77777777">
        <w:trPr>
          <w:trHeight w:val="400"/>
          <w:jc w:val="center"/>
        </w:trPr>
        <w:tc>
          <w:tcPr>
            <w:tcW w:w="5681" w:type="dxa"/>
            <w:shd w:val="clear" w:color="auto" w:fill="auto"/>
            <w:vAlign w:val="center"/>
          </w:tcPr>
          <w:p w14:paraId="7F431EA6" w14:textId="77777777" w:rsidR="003A2986" w:rsidRPr="00B01E2C" w:rsidRDefault="003A2986" w:rsidP="003A2986">
            <w:pPr>
              <w:autoSpaceDE w:val="0"/>
              <w:autoSpaceDN w:val="0"/>
              <w:adjustRightInd w:val="0"/>
              <w:spacing w:after="0"/>
              <w:jc w:val="both"/>
              <w:rPr>
                <w:rFonts w:cs="Arial"/>
                <w:b/>
                <w:szCs w:val="24"/>
              </w:rPr>
            </w:pPr>
            <w:r w:rsidRPr="00B01E2C">
              <w:rPr>
                <w:rFonts w:cs="Arial"/>
                <w:b/>
                <w:szCs w:val="24"/>
              </w:rPr>
              <w:t>Percentage increase</w:t>
            </w:r>
          </w:p>
        </w:tc>
        <w:tc>
          <w:tcPr>
            <w:tcW w:w="2505" w:type="dxa"/>
            <w:shd w:val="clear" w:color="auto" w:fill="auto"/>
            <w:vAlign w:val="center"/>
          </w:tcPr>
          <w:p w14:paraId="4CFBCE4D" w14:textId="77777777" w:rsidR="003A2986" w:rsidRPr="00B01E2C" w:rsidRDefault="003A2986" w:rsidP="003A2986">
            <w:pPr>
              <w:autoSpaceDE w:val="0"/>
              <w:autoSpaceDN w:val="0"/>
              <w:adjustRightInd w:val="0"/>
              <w:spacing w:after="0"/>
              <w:jc w:val="right"/>
              <w:rPr>
                <w:rFonts w:cs="Arial"/>
                <w:b/>
                <w:szCs w:val="24"/>
              </w:rPr>
            </w:pPr>
            <w:r w:rsidRPr="00B01E2C">
              <w:rPr>
                <w:rFonts w:cs="Arial"/>
                <w:b/>
                <w:szCs w:val="24"/>
              </w:rPr>
              <w:t>3.99%</w:t>
            </w:r>
          </w:p>
        </w:tc>
      </w:tr>
    </w:tbl>
    <w:p w14:paraId="59B3ADAF" w14:textId="77777777" w:rsidR="00937CFA" w:rsidRPr="00CD4BC8" w:rsidRDefault="00937CFA" w:rsidP="00937CFA">
      <w:pPr>
        <w:spacing w:after="0"/>
        <w:rPr>
          <w:rFonts w:cs="Arial"/>
          <w:b/>
          <w:i/>
          <w:highlight w:val="yellow"/>
          <w:u w:val="single"/>
        </w:rPr>
      </w:pPr>
    </w:p>
    <w:p w14:paraId="5667A137" w14:textId="2D6ECF36" w:rsidR="00866C30" w:rsidRDefault="00866C30" w:rsidP="00640F8C">
      <w:pPr>
        <w:spacing w:after="0"/>
        <w:jc w:val="both"/>
        <w:rPr>
          <w:rFonts w:cs="Arial"/>
          <w:i/>
        </w:rPr>
      </w:pPr>
    </w:p>
    <w:p w14:paraId="0F102882" w14:textId="77777777" w:rsidR="00FA40FD" w:rsidRDefault="00FA40FD" w:rsidP="00640F8C">
      <w:pPr>
        <w:spacing w:after="0"/>
        <w:jc w:val="both"/>
        <w:rPr>
          <w:rFonts w:cs="Arial"/>
          <w:i/>
        </w:rPr>
      </w:pPr>
    </w:p>
    <w:p w14:paraId="1E2FFD26" w14:textId="2135A17B" w:rsidR="00640F8C" w:rsidRPr="00866C30" w:rsidRDefault="005A2610" w:rsidP="00640F8C">
      <w:pPr>
        <w:spacing w:after="0"/>
        <w:jc w:val="both"/>
        <w:rPr>
          <w:rFonts w:cs="Arial"/>
          <w:b/>
          <w:bCs/>
          <w:i/>
        </w:rPr>
      </w:pPr>
      <w:r>
        <w:rPr>
          <w:rFonts w:cs="Arial"/>
          <w:b/>
          <w:bCs/>
          <w:i/>
        </w:rPr>
        <w:lastRenderedPageBreak/>
        <w:t>3</w:t>
      </w:r>
      <w:r w:rsidR="00EE4778" w:rsidRPr="00866C30">
        <w:rPr>
          <w:rFonts w:cs="Arial"/>
          <w:b/>
          <w:bCs/>
          <w:i/>
        </w:rPr>
        <w:t>.</w:t>
      </w:r>
      <w:r w:rsidR="00617895" w:rsidRPr="00866C30">
        <w:rPr>
          <w:rFonts w:cs="Arial"/>
          <w:b/>
          <w:bCs/>
          <w:i/>
        </w:rPr>
        <w:t>1</w:t>
      </w:r>
      <w:r w:rsidR="00EE4778" w:rsidRPr="00866C30">
        <w:rPr>
          <w:rFonts w:cs="Arial"/>
          <w:b/>
          <w:bCs/>
          <w:i/>
        </w:rPr>
        <w:t xml:space="preserve"> Council Tax in 202</w:t>
      </w:r>
      <w:r w:rsidR="00617895" w:rsidRPr="00866C30">
        <w:rPr>
          <w:rFonts w:cs="Arial"/>
          <w:b/>
          <w:bCs/>
          <w:i/>
        </w:rPr>
        <w:t>3</w:t>
      </w:r>
      <w:r w:rsidR="00EE4778" w:rsidRPr="00866C30">
        <w:rPr>
          <w:rFonts w:cs="Arial"/>
          <w:b/>
          <w:bCs/>
          <w:i/>
        </w:rPr>
        <w:t>/2</w:t>
      </w:r>
      <w:r w:rsidR="00617895" w:rsidRPr="00866C30">
        <w:rPr>
          <w:rFonts w:cs="Arial"/>
          <w:b/>
          <w:bCs/>
          <w:i/>
        </w:rPr>
        <w:t>4</w:t>
      </w:r>
    </w:p>
    <w:p w14:paraId="17347C38" w14:textId="77777777" w:rsidR="00866C30" w:rsidRDefault="00866C30" w:rsidP="00866C30">
      <w:pPr>
        <w:tabs>
          <w:tab w:val="left" w:pos="567"/>
          <w:tab w:val="left" w:pos="1134"/>
        </w:tabs>
        <w:autoSpaceDE w:val="0"/>
        <w:autoSpaceDN w:val="0"/>
        <w:adjustRightInd w:val="0"/>
        <w:spacing w:after="0" w:line="240" w:lineRule="auto"/>
        <w:contextualSpacing/>
        <w:jc w:val="both"/>
        <w:rPr>
          <w:rFonts w:cs="Arial"/>
          <w:i/>
        </w:rPr>
      </w:pPr>
    </w:p>
    <w:p w14:paraId="7E30FD03" w14:textId="098D2DE8" w:rsidR="00866C30" w:rsidRDefault="00866C30" w:rsidP="00866C30">
      <w:pPr>
        <w:tabs>
          <w:tab w:val="left" w:pos="567"/>
          <w:tab w:val="left" w:pos="1134"/>
        </w:tabs>
        <w:autoSpaceDE w:val="0"/>
        <w:autoSpaceDN w:val="0"/>
        <w:adjustRightInd w:val="0"/>
        <w:spacing w:after="0" w:line="240" w:lineRule="auto"/>
        <w:contextualSpacing/>
        <w:jc w:val="both"/>
        <w:rPr>
          <w:rFonts w:cs="Arial"/>
        </w:rPr>
      </w:pPr>
      <w:r w:rsidRPr="001F0F69">
        <w:rPr>
          <w:rFonts w:cs="Arial"/>
        </w:rPr>
        <w:t xml:space="preserve">Council tax increases have been applied to </w:t>
      </w:r>
      <w:r w:rsidR="00130C3C">
        <w:rPr>
          <w:rFonts w:cs="Arial"/>
        </w:rPr>
        <w:t xml:space="preserve">the </w:t>
      </w:r>
      <w:proofErr w:type="gramStart"/>
      <w:r w:rsidR="00130C3C">
        <w:rPr>
          <w:rFonts w:cs="Arial"/>
        </w:rPr>
        <w:t>medium term</w:t>
      </w:r>
      <w:proofErr w:type="gramEnd"/>
      <w:r w:rsidR="00130C3C">
        <w:rPr>
          <w:rFonts w:cs="Arial"/>
        </w:rPr>
        <w:t xml:space="preserve"> financial strategy period as follows</w:t>
      </w:r>
      <w:r w:rsidRPr="001F0F69">
        <w:rPr>
          <w:rFonts w:cs="Arial"/>
        </w:rPr>
        <w:t>:</w:t>
      </w:r>
    </w:p>
    <w:p w14:paraId="2EB2A204" w14:textId="77777777" w:rsidR="005158B4" w:rsidRDefault="005158B4" w:rsidP="00866C30">
      <w:pPr>
        <w:tabs>
          <w:tab w:val="left" w:pos="567"/>
          <w:tab w:val="left" w:pos="1134"/>
        </w:tabs>
        <w:autoSpaceDE w:val="0"/>
        <w:autoSpaceDN w:val="0"/>
        <w:adjustRightInd w:val="0"/>
        <w:spacing w:after="0" w:line="240" w:lineRule="auto"/>
        <w:contextualSpacing/>
        <w:jc w:val="both"/>
        <w:rPr>
          <w:rFonts w:cs="Arial"/>
        </w:rPr>
      </w:pPr>
    </w:p>
    <w:p w14:paraId="3867504E" w14:textId="47B135DF" w:rsidR="00866C30" w:rsidRPr="005158B4" w:rsidRDefault="005158B4" w:rsidP="005158B4">
      <w:pPr>
        <w:pStyle w:val="NoSpacing"/>
        <w:spacing w:line="276" w:lineRule="auto"/>
        <w:jc w:val="both"/>
        <w:rPr>
          <w:rFonts w:ascii="Arial" w:hAnsi="Arial" w:cs="Arial"/>
          <w:b/>
          <w:i/>
          <w:iCs/>
          <w:u w:val="single"/>
        </w:rPr>
      </w:pPr>
      <w:r w:rsidRPr="005A6E29">
        <w:rPr>
          <w:rFonts w:ascii="Arial" w:hAnsi="Arial" w:cs="Arial"/>
          <w:b/>
          <w:i/>
          <w:iCs/>
          <w:u w:val="single"/>
        </w:rPr>
        <w:t xml:space="preserve">Table </w:t>
      </w:r>
      <w:r w:rsidR="00B956D1">
        <w:rPr>
          <w:rFonts w:ascii="Arial" w:hAnsi="Arial" w:cs="Arial"/>
          <w:b/>
          <w:i/>
          <w:iCs/>
          <w:u w:val="single"/>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843"/>
        <w:gridCol w:w="1701"/>
      </w:tblGrid>
      <w:tr w:rsidR="00866C30" w:rsidRPr="00CD4BC8" w14:paraId="6611548E" w14:textId="77777777">
        <w:trPr>
          <w:jc w:val="center"/>
        </w:trPr>
        <w:tc>
          <w:tcPr>
            <w:tcW w:w="1129" w:type="dxa"/>
            <w:shd w:val="clear" w:color="auto" w:fill="auto"/>
          </w:tcPr>
          <w:p w14:paraId="6E808FAF" w14:textId="77777777" w:rsidR="00866C30" w:rsidRPr="00CD4BC8" w:rsidRDefault="00866C30">
            <w:pPr>
              <w:spacing w:after="0"/>
              <w:rPr>
                <w:rFonts w:cs="Arial"/>
                <w:highlight w:val="yellow"/>
              </w:rPr>
            </w:pPr>
          </w:p>
        </w:tc>
        <w:tc>
          <w:tcPr>
            <w:tcW w:w="1843" w:type="dxa"/>
            <w:shd w:val="clear" w:color="auto" w:fill="auto"/>
            <w:vAlign w:val="center"/>
          </w:tcPr>
          <w:p w14:paraId="55151420" w14:textId="77777777" w:rsidR="00866C30" w:rsidRPr="001F0F69" w:rsidRDefault="00866C30">
            <w:pPr>
              <w:spacing w:after="0"/>
              <w:jc w:val="center"/>
              <w:rPr>
                <w:rFonts w:cs="Arial"/>
              </w:rPr>
            </w:pPr>
            <w:r w:rsidRPr="001F0F69">
              <w:rPr>
                <w:rFonts w:cs="Arial"/>
              </w:rPr>
              <w:t>Council tax increase (no referendum required)</w:t>
            </w:r>
          </w:p>
        </w:tc>
        <w:tc>
          <w:tcPr>
            <w:tcW w:w="1843" w:type="dxa"/>
            <w:shd w:val="clear" w:color="auto" w:fill="auto"/>
            <w:vAlign w:val="center"/>
          </w:tcPr>
          <w:p w14:paraId="24B1EAAA" w14:textId="77777777" w:rsidR="00866C30" w:rsidRPr="001F0F69" w:rsidRDefault="00866C30">
            <w:pPr>
              <w:spacing w:after="0"/>
              <w:jc w:val="center"/>
              <w:rPr>
                <w:rFonts w:cs="Arial"/>
              </w:rPr>
            </w:pPr>
            <w:r w:rsidRPr="001F0F69">
              <w:rPr>
                <w:rFonts w:cs="Arial"/>
              </w:rPr>
              <w:t>Adult social care precept</w:t>
            </w:r>
          </w:p>
        </w:tc>
        <w:tc>
          <w:tcPr>
            <w:tcW w:w="1701" w:type="dxa"/>
            <w:shd w:val="clear" w:color="auto" w:fill="auto"/>
            <w:vAlign w:val="center"/>
          </w:tcPr>
          <w:p w14:paraId="588449D5" w14:textId="77777777" w:rsidR="00866C30" w:rsidRPr="001F0F69" w:rsidRDefault="00866C30">
            <w:pPr>
              <w:spacing w:after="0"/>
              <w:jc w:val="center"/>
              <w:rPr>
                <w:rFonts w:cs="Arial"/>
              </w:rPr>
            </w:pPr>
            <w:r w:rsidRPr="001F0F69">
              <w:rPr>
                <w:rFonts w:cs="Arial"/>
              </w:rPr>
              <w:t>Total council tax increase</w:t>
            </w:r>
          </w:p>
        </w:tc>
      </w:tr>
      <w:tr w:rsidR="00866C30" w:rsidRPr="00CD4BC8" w14:paraId="3F0EDBF0" w14:textId="77777777">
        <w:trPr>
          <w:jc w:val="center"/>
        </w:trPr>
        <w:tc>
          <w:tcPr>
            <w:tcW w:w="1129" w:type="dxa"/>
            <w:shd w:val="clear" w:color="auto" w:fill="auto"/>
          </w:tcPr>
          <w:p w14:paraId="41E5C62B" w14:textId="77777777" w:rsidR="00866C30" w:rsidRPr="001F0F69" w:rsidRDefault="00866C30">
            <w:pPr>
              <w:spacing w:after="0"/>
              <w:rPr>
                <w:rFonts w:cs="Arial"/>
              </w:rPr>
            </w:pPr>
            <w:r w:rsidRPr="001F0F69">
              <w:rPr>
                <w:rFonts w:cs="Arial"/>
              </w:rPr>
              <w:t>2023/24</w:t>
            </w:r>
          </w:p>
        </w:tc>
        <w:tc>
          <w:tcPr>
            <w:tcW w:w="1843" w:type="dxa"/>
            <w:shd w:val="clear" w:color="auto" w:fill="auto"/>
          </w:tcPr>
          <w:p w14:paraId="26F03FC2" w14:textId="77777777" w:rsidR="00866C30" w:rsidRPr="001F0F69" w:rsidRDefault="00866C30">
            <w:pPr>
              <w:spacing w:after="0"/>
              <w:jc w:val="center"/>
              <w:rPr>
                <w:rFonts w:cs="Arial"/>
              </w:rPr>
            </w:pPr>
            <w:r w:rsidRPr="001F0F69">
              <w:rPr>
                <w:rFonts w:cs="Arial"/>
              </w:rPr>
              <w:t>1.99%</w:t>
            </w:r>
          </w:p>
        </w:tc>
        <w:tc>
          <w:tcPr>
            <w:tcW w:w="1843" w:type="dxa"/>
            <w:shd w:val="clear" w:color="auto" w:fill="auto"/>
          </w:tcPr>
          <w:p w14:paraId="69CAAAAC" w14:textId="77777777" w:rsidR="00866C30" w:rsidRPr="001F0F69" w:rsidRDefault="00866C30">
            <w:pPr>
              <w:spacing w:after="0"/>
              <w:jc w:val="center"/>
              <w:rPr>
                <w:rFonts w:cs="Arial"/>
              </w:rPr>
            </w:pPr>
            <w:r w:rsidRPr="001F0F69">
              <w:rPr>
                <w:rFonts w:cs="Arial"/>
              </w:rPr>
              <w:t>2.00%</w:t>
            </w:r>
          </w:p>
        </w:tc>
        <w:tc>
          <w:tcPr>
            <w:tcW w:w="1701" w:type="dxa"/>
            <w:shd w:val="clear" w:color="auto" w:fill="auto"/>
          </w:tcPr>
          <w:p w14:paraId="1F028757" w14:textId="77777777" w:rsidR="00866C30" w:rsidRPr="001F0F69" w:rsidRDefault="00866C30">
            <w:pPr>
              <w:spacing w:after="0"/>
              <w:jc w:val="center"/>
              <w:rPr>
                <w:rFonts w:cs="Arial"/>
              </w:rPr>
            </w:pPr>
            <w:r>
              <w:rPr>
                <w:rFonts w:cs="Arial"/>
              </w:rPr>
              <w:t>3.99%</w:t>
            </w:r>
          </w:p>
        </w:tc>
      </w:tr>
      <w:tr w:rsidR="00866C30" w:rsidRPr="00CD4BC8" w14:paraId="5E1BDEA7" w14:textId="77777777">
        <w:trPr>
          <w:jc w:val="center"/>
        </w:trPr>
        <w:tc>
          <w:tcPr>
            <w:tcW w:w="1129" w:type="dxa"/>
            <w:shd w:val="clear" w:color="auto" w:fill="auto"/>
          </w:tcPr>
          <w:p w14:paraId="38185D08" w14:textId="77777777" w:rsidR="00866C30" w:rsidRPr="001F0F69" w:rsidRDefault="00866C30">
            <w:pPr>
              <w:spacing w:after="0"/>
              <w:rPr>
                <w:rFonts w:cs="Arial"/>
              </w:rPr>
            </w:pPr>
            <w:r w:rsidRPr="001F0F69">
              <w:rPr>
                <w:rFonts w:cs="Arial"/>
              </w:rPr>
              <w:t>2024/25</w:t>
            </w:r>
          </w:p>
        </w:tc>
        <w:tc>
          <w:tcPr>
            <w:tcW w:w="1843" w:type="dxa"/>
            <w:shd w:val="clear" w:color="auto" w:fill="auto"/>
          </w:tcPr>
          <w:p w14:paraId="19B5C364" w14:textId="77777777" w:rsidR="00866C30" w:rsidRPr="001F0F69" w:rsidRDefault="00866C30">
            <w:pPr>
              <w:spacing w:after="0"/>
              <w:jc w:val="center"/>
              <w:rPr>
                <w:rFonts w:cs="Arial"/>
              </w:rPr>
            </w:pPr>
            <w:r w:rsidRPr="001F0F69">
              <w:rPr>
                <w:rFonts w:cs="Arial"/>
              </w:rPr>
              <w:t>2.99%</w:t>
            </w:r>
          </w:p>
        </w:tc>
        <w:tc>
          <w:tcPr>
            <w:tcW w:w="1843" w:type="dxa"/>
            <w:shd w:val="clear" w:color="auto" w:fill="auto"/>
          </w:tcPr>
          <w:p w14:paraId="6D1591BE" w14:textId="77777777" w:rsidR="00866C30" w:rsidRPr="001F0F69" w:rsidRDefault="00866C30">
            <w:pPr>
              <w:spacing w:after="0"/>
              <w:jc w:val="center"/>
              <w:rPr>
                <w:rFonts w:cs="Arial"/>
              </w:rPr>
            </w:pPr>
            <w:r w:rsidRPr="001F0F69">
              <w:rPr>
                <w:rFonts w:cs="Arial"/>
              </w:rPr>
              <w:t>2.00%</w:t>
            </w:r>
          </w:p>
        </w:tc>
        <w:tc>
          <w:tcPr>
            <w:tcW w:w="1701" w:type="dxa"/>
            <w:shd w:val="clear" w:color="auto" w:fill="auto"/>
          </w:tcPr>
          <w:p w14:paraId="6F850BA0" w14:textId="77777777" w:rsidR="00866C30" w:rsidRPr="001F0F69" w:rsidRDefault="00866C30">
            <w:pPr>
              <w:spacing w:after="0"/>
              <w:jc w:val="center"/>
              <w:rPr>
                <w:rFonts w:cs="Arial"/>
              </w:rPr>
            </w:pPr>
            <w:r w:rsidRPr="001F0F69">
              <w:rPr>
                <w:rFonts w:cs="Arial"/>
              </w:rPr>
              <w:t>4.99%</w:t>
            </w:r>
          </w:p>
        </w:tc>
      </w:tr>
      <w:tr w:rsidR="00866C30" w:rsidRPr="00CD4BC8" w14:paraId="086C183B" w14:textId="77777777">
        <w:trPr>
          <w:jc w:val="center"/>
        </w:trPr>
        <w:tc>
          <w:tcPr>
            <w:tcW w:w="1129" w:type="dxa"/>
            <w:shd w:val="clear" w:color="auto" w:fill="auto"/>
          </w:tcPr>
          <w:p w14:paraId="6E398B4D" w14:textId="77777777" w:rsidR="00866C30" w:rsidRPr="001F0F69" w:rsidRDefault="00866C30">
            <w:pPr>
              <w:spacing w:after="0"/>
              <w:rPr>
                <w:rFonts w:cs="Arial"/>
              </w:rPr>
            </w:pPr>
            <w:r w:rsidRPr="001F0F69">
              <w:rPr>
                <w:rFonts w:cs="Arial"/>
              </w:rPr>
              <w:t>2025/26</w:t>
            </w:r>
          </w:p>
        </w:tc>
        <w:tc>
          <w:tcPr>
            <w:tcW w:w="1843" w:type="dxa"/>
            <w:shd w:val="clear" w:color="auto" w:fill="auto"/>
          </w:tcPr>
          <w:p w14:paraId="30A1F29F" w14:textId="77777777" w:rsidR="00866C30" w:rsidRPr="001F0F69" w:rsidRDefault="00866C30">
            <w:pPr>
              <w:spacing w:after="0"/>
              <w:jc w:val="center"/>
              <w:rPr>
                <w:rFonts w:cs="Arial"/>
              </w:rPr>
            </w:pPr>
            <w:r w:rsidRPr="001F0F69">
              <w:rPr>
                <w:rFonts w:cs="Arial"/>
              </w:rPr>
              <w:t>1.99%</w:t>
            </w:r>
          </w:p>
        </w:tc>
        <w:tc>
          <w:tcPr>
            <w:tcW w:w="1843" w:type="dxa"/>
            <w:shd w:val="clear" w:color="auto" w:fill="auto"/>
          </w:tcPr>
          <w:p w14:paraId="4FE59C19" w14:textId="77777777" w:rsidR="00866C30" w:rsidRPr="001F0F69" w:rsidRDefault="00866C30">
            <w:pPr>
              <w:spacing w:after="0"/>
              <w:jc w:val="center"/>
              <w:rPr>
                <w:rFonts w:cs="Arial"/>
              </w:rPr>
            </w:pPr>
            <w:r w:rsidRPr="001F0F69">
              <w:rPr>
                <w:rFonts w:cs="Arial"/>
              </w:rPr>
              <w:t>1.00%</w:t>
            </w:r>
          </w:p>
        </w:tc>
        <w:tc>
          <w:tcPr>
            <w:tcW w:w="1701" w:type="dxa"/>
            <w:shd w:val="clear" w:color="auto" w:fill="auto"/>
          </w:tcPr>
          <w:p w14:paraId="36A238DC" w14:textId="77777777" w:rsidR="00866C30" w:rsidRPr="001F0F69" w:rsidRDefault="00866C30">
            <w:pPr>
              <w:spacing w:after="0"/>
              <w:jc w:val="center"/>
              <w:rPr>
                <w:rFonts w:cs="Arial"/>
              </w:rPr>
            </w:pPr>
            <w:r w:rsidRPr="001F0F69">
              <w:rPr>
                <w:rFonts w:cs="Arial"/>
              </w:rPr>
              <w:t>2.99%</w:t>
            </w:r>
          </w:p>
        </w:tc>
      </w:tr>
      <w:tr w:rsidR="00866C30" w:rsidRPr="00CD4BC8" w14:paraId="50406A2A" w14:textId="77777777">
        <w:trPr>
          <w:jc w:val="center"/>
        </w:trPr>
        <w:tc>
          <w:tcPr>
            <w:tcW w:w="1129" w:type="dxa"/>
            <w:shd w:val="clear" w:color="auto" w:fill="auto"/>
          </w:tcPr>
          <w:p w14:paraId="35EA4DC6" w14:textId="77777777" w:rsidR="00866C30" w:rsidRPr="001F0F69" w:rsidRDefault="00866C30">
            <w:pPr>
              <w:spacing w:after="0"/>
              <w:rPr>
                <w:rFonts w:cs="Arial"/>
              </w:rPr>
            </w:pPr>
            <w:r w:rsidRPr="001F0F69">
              <w:rPr>
                <w:rFonts w:cs="Arial"/>
              </w:rPr>
              <w:t>2026/27</w:t>
            </w:r>
          </w:p>
        </w:tc>
        <w:tc>
          <w:tcPr>
            <w:tcW w:w="1843" w:type="dxa"/>
            <w:shd w:val="clear" w:color="auto" w:fill="auto"/>
          </w:tcPr>
          <w:p w14:paraId="78B68390" w14:textId="77777777" w:rsidR="00866C30" w:rsidRPr="001F0F69" w:rsidRDefault="00866C30">
            <w:pPr>
              <w:spacing w:after="0"/>
              <w:jc w:val="center"/>
              <w:rPr>
                <w:rFonts w:cs="Arial"/>
              </w:rPr>
            </w:pPr>
            <w:r w:rsidRPr="001F0F69">
              <w:rPr>
                <w:rFonts w:cs="Arial"/>
              </w:rPr>
              <w:t>1.99%</w:t>
            </w:r>
          </w:p>
        </w:tc>
        <w:tc>
          <w:tcPr>
            <w:tcW w:w="1843" w:type="dxa"/>
            <w:shd w:val="clear" w:color="auto" w:fill="auto"/>
          </w:tcPr>
          <w:p w14:paraId="0CE214F7" w14:textId="77777777" w:rsidR="00866C30" w:rsidRPr="001F0F69" w:rsidRDefault="00866C30">
            <w:pPr>
              <w:spacing w:after="0"/>
              <w:jc w:val="center"/>
              <w:rPr>
                <w:rFonts w:cs="Arial"/>
              </w:rPr>
            </w:pPr>
            <w:r w:rsidRPr="001F0F69">
              <w:rPr>
                <w:rFonts w:cs="Arial"/>
              </w:rPr>
              <w:t>1.00%</w:t>
            </w:r>
          </w:p>
        </w:tc>
        <w:tc>
          <w:tcPr>
            <w:tcW w:w="1701" w:type="dxa"/>
            <w:shd w:val="clear" w:color="auto" w:fill="auto"/>
          </w:tcPr>
          <w:p w14:paraId="584AFFB3" w14:textId="77777777" w:rsidR="00866C30" w:rsidRPr="001F0F69" w:rsidRDefault="00866C30">
            <w:pPr>
              <w:spacing w:after="0"/>
              <w:jc w:val="center"/>
              <w:rPr>
                <w:rFonts w:cs="Arial"/>
              </w:rPr>
            </w:pPr>
            <w:r w:rsidRPr="001F0F69">
              <w:rPr>
                <w:rFonts w:cs="Arial"/>
              </w:rPr>
              <w:t>2.99%</w:t>
            </w:r>
          </w:p>
        </w:tc>
      </w:tr>
    </w:tbl>
    <w:p w14:paraId="5235BBED" w14:textId="77777777" w:rsidR="00866C30" w:rsidRDefault="00866C30" w:rsidP="00866C30">
      <w:pPr>
        <w:tabs>
          <w:tab w:val="left" w:pos="567"/>
          <w:tab w:val="left" w:pos="1134"/>
        </w:tabs>
        <w:spacing w:after="0"/>
        <w:ind w:left="360"/>
        <w:contextualSpacing/>
        <w:rPr>
          <w:rFonts w:cs="Arial"/>
          <w:highlight w:val="yellow"/>
        </w:rPr>
      </w:pPr>
    </w:p>
    <w:p w14:paraId="6F0EE1D1" w14:textId="46124A03" w:rsidR="00B25C70" w:rsidRPr="001F0F69" w:rsidRDefault="00B25C70" w:rsidP="00866C30">
      <w:pPr>
        <w:spacing w:after="0"/>
        <w:jc w:val="both"/>
        <w:rPr>
          <w:rFonts w:cs="Arial"/>
        </w:rPr>
      </w:pPr>
      <w:r w:rsidRPr="001F0F69">
        <w:rPr>
          <w:rFonts w:cs="Arial"/>
        </w:rPr>
        <w:t>Any decisions not to increase council tax in line with the assumptions above would increase the financial gap; every 1% in council tax yields circa £6m.</w:t>
      </w:r>
    </w:p>
    <w:p w14:paraId="28F9F5E1" w14:textId="77777777" w:rsidR="00B25C70" w:rsidRPr="00CD4BC8" w:rsidRDefault="00B25C70" w:rsidP="00866C30">
      <w:pPr>
        <w:spacing w:after="0"/>
        <w:jc w:val="both"/>
        <w:rPr>
          <w:rFonts w:cs="Arial"/>
          <w:b/>
          <w:highlight w:val="yellow"/>
        </w:rPr>
      </w:pPr>
    </w:p>
    <w:p w14:paraId="185A8265" w14:textId="54101BC3" w:rsidR="00B25C70" w:rsidRDefault="00B956D1" w:rsidP="00866C30">
      <w:pPr>
        <w:spacing w:after="0"/>
        <w:jc w:val="both"/>
        <w:rPr>
          <w:rFonts w:cs="Arial"/>
        </w:rPr>
      </w:pPr>
      <w:r>
        <w:rPr>
          <w:rFonts w:cs="Arial"/>
        </w:rPr>
        <w:t xml:space="preserve">In the </w:t>
      </w:r>
      <w:proofErr w:type="gramStart"/>
      <w:r>
        <w:rPr>
          <w:rFonts w:cs="Arial"/>
        </w:rPr>
        <w:t>medium term</w:t>
      </w:r>
      <w:proofErr w:type="gramEnd"/>
      <w:r>
        <w:rPr>
          <w:rFonts w:cs="Arial"/>
        </w:rPr>
        <w:t xml:space="preserve"> financial strategy, based on historical trends, a growth in tax base of 1.7% was included</w:t>
      </w:r>
      <w:r w:rsidR="00455B09">
        <w:rPr>
          <w:rFonts w:cs="Arial"/>
        </w:rPr>
        <w:t xml:space="preserve"> in each of the next 4 financial years. Tax base information has been received from District Councils with the actual tax base position being 1.76%. This yields additional income of £0.339m in 2023/24. </w:t>
      </w:r>
    </w:p>
    <w:p w14:paraId="3AE09824" w14:textId="77777777" w:rsidR="003B1BF0" w:rsidRPr="00F956F9" w:rsidRDefault="003B1BF0" w:rsidP="00640F8C">
      <w:pPr>
        <w:spacing w:after="0"/>
        <w:jc w:val="both"/>
        <w:rPr>
          <w:rFonts w:cs="Arial"/>
        </w:rPr>
      </w:pPr>
    </w:p>
    <w:p w14:paraId="1D9B668B" w14:textId="626BCB44" w:rsidR="00640F8C" w:rsidRPr="005C4AE4" w:rsidRDefault="005A2610" w:rsidP="00640F8C">
      <w:pPr>
        <w:spacing w:after="0"/>
        <w:jc w:val="both"/>
        <w:rPr>
          <w:rFonts w:cs="Arial"/>
          <w:b/>
          <w:bCs/>
          <w:i/>
          <w:szCs w:val="24"/>
        </w:rPr>
      </w:pPr>
      <w:r>
        <w:rPr>
          <w:rFonts w:cs="Arial"/>
          <w:b/>
          <w:bCs/>
          <w:i/>
          <w:szCs w:val="24"/>
        </w:rPr>
        <w:t>3</w:t>
      </w:r>
      <w:r w:rsidR="00EE4778" w:rsidRPr="005C4AE4">
        <w:rPr>
          <w:rFonts w:cs="Arial"/>
          <w:b/>
          <w:bCs/>
          <w:i/>
          <w:szCs w:val="24"/>
        </w:rPr>
        <w:t>.</w:t>
      </w:r>
      <w:r w:rsidR="00F956F9" w:rsidRPr="005C4AE4">
        <w:rPr>
          <w:rFonts w:cs="Arial"/>
          <w:b/>
          <w:bCs/>
          <w:i/>
          <w:szCs w:val="24"/>
        </w:rPr>
        <w:t>2</w:t>
      </w:r>
      <w:r w:rsidR="00EE4778" w:rsidRPr="005C4AE4">
        <w:rPr>
          <w:rFonts w:cs="Arial"/>
          <w:b/>
          <w:bCs/>
          <w:i/>
          <w:szCs w:val="24"/>
        </w:rPr>
        <w:t xml:space="preserve"> Business Rates in 202</w:t>
      </w:r>
      <w:r w:rsidR="00F956F9" w:rsidRPr="005C4AE4">
        <w:rPr>
          <w:rFonts w:cs="Arial"/>
          <w:b/>
          <w:bCs/>
          <w:i/>
          <w:szCs w:val="24"/>
        </w:rPr>
        <w:t>3</w:t>
      </w:r>
      <w:r w:rsidR="00EE4778" w:rsidRPr="005C4AE4">
        <w:rPr>
          <w:rFonts w:cs="Arial"/>
          <w:b/>
          <w:bCs/>
          <w:i/>
          <w:szCs w:val="24"/>
        </w:rPr>
        <w:t>/2</w:t>
      </w:r>
      <w:r w:rsidR="00F956F9" w:rsidRPr="005C4AE4">
        <w:rPr>
          <w:rFonts w:cs="Arial"/>
          <w:b/>
          <w:bCs/>
          <w:i/>
          <w:szCs w:val="24"/>
        </w:rPr>
        <w:t>4</w:t>
      </w:r>
    </w:p>
    <w:p w14:paraId="680A4E5D" w14:textId="77777777" w:rsidR="00640F8C" w:rsidRPr="008B4A55" w:rsidRDefault="00640F8C" w:rsidP="00640F8C">
      <w:pPr>
        <w:spacing w:after="0"/>
        <w:jc w:val="both"/>
        <w:rPr>
          <w:rFonts w:cs="Arial"/>
          <w:i/>
          <w:szCs w:val="24"/>
          <w:highlight w:val="yellow"/>
        </w:rPr>
      </w:pPr>
    </w:p>
    <w:p w14:paraId="7795DB14" w14:textId="06C48123" w:rsidR="00F956F9" w:rsidRPr="00F956F9" w:rsidRDefault="00F956F9" w:rsidP="00F956F9">
      <w:pPr>
        <w:spacing w:after="0"/>
        <w:jc w:val="both"/>
        <w:rPr>
          <w:rFonts w:eastAsia="Arial" w:cs="Arial"/>
        </w:rPr>
      </w:pPr>
      <w:r w:rsidRPr="00F956F9">
        <w:rPr>
          <w:rFonts w:eastAsia="Arial" w:cs="Arial"/>
        </w:rPr>
        <w:t xml:space="preserve">Business rates income is a significant </w:t>
      </w:r>
      <w:r w:rsidR="00130C3C">
        <w:rPr>
          <w:rFonts w:eastAsia="Arial" w:cs="Arial"/>
        </w:rPr>
        <w:t>source</w:t>
      </w:r>
      <w:r w:rsidR="00130C3C" w:rsidRPr="00F956F9">
        <w:rPr>
          <w:rFonts w:eastAsia="Arial" w:cs="Arial"/>
        </w:rPr>
        <w:t xml:space="preserve"> </w:t>
      </w:r>
      <w:r w:rsidRPr="00F956F9">
        <w:rPr>
          <w:rFonts w:eastAsia="Arial" w:cs="Arial"/>
        </w:rPr>
        <w:t xml:space="preserve">of funding </w:t>
      </w:r>
      <w:r w:rsidR="00F41788">
        <w:rPr>
          <w:rFonts w:eastAsia="Arial" w:cs="Arial"/>
        </w:rPr>
        <w:t>for</w:t>
      </w:r>
      <w:r w:rsidR="00F41788" w:rsidRPr="00F956F9">
        <w:rPr>
          <w:rFonts w:eastAsia="Arial" w:cs="Arial"/>
        </w:rPr>
        <w:t xml:space="preserve"> </w:t>
      </w:r>
      <w:r w:rsidRPr="00F956F9">
        <w:rPr>
          <w:rFonts w:eastAsia="Arial" w:cs="Arial"/>
        </w:rPr>
        <w:t>local authorities</w:t>
      </w:r>
      <w:r w:rsidR="00F41788">
        <w:rPr>
          <w:rFonts w:eastAsia="Arial" w:cs="Arial"/>
        </w:rPr>
        <w:t xml:space="preserve"> and our strategy assumes annual growth of 0.5% of the tax base in addition to </w:t>
      </w:r>
      <w:r w:rsidR="006E2757">
        <w:rPr>
          <w:rFonts w:eastAsia="Arial" w:cs="Arial"/>
        </w:rPr>
        <w:t xml:space="preserve">the </w:t>
      </w:r>
      <w:r w:rsidR="00F41788">
        <w:rPr>
          <w:rFonts w:eastAsia="Arial" w:cs="Arial"/>
        </w:rPr>
        <w:t>C</w:t>
      </w:r>
      <w:r w:rsidR="006E2757">
        <w:rPr>
          <w:rFonts w:eastAsia="Arial" w:cs="Arial"/>
        </w:rPr>
        <w:t xml:space="preserve">onsumer </w:t>
      </w:r>
      <w:r w:rsidR="00F41788">
        <w:rPr>
          <w:rFonts w:eastAsia="Arial" w:cs="Arial"/>
        </w:rPr>
        <w:t>P</w:t>
      </w:r>
      <w:r w:rsidR="006E2757">
        <w:rPr>
          <w:rFonts w:eastAsia="Arial" w:cs="Arial"/>
        </w:rPr>
        <w:t xml:space="preserve">rice </w:t>
      </w:r>
      <w:r w:rsidR="00F41788">
        <w:rPr>
          <w:rFonts w:eastAsia="Arial" w:cs="Arial"/>
        </w:rPr>
        <w:t>I</w:t>
      </w:r>
      <w:r w:rsidR="006E2757">
        <w:rPr>
          <w:rFonts w:eastAsia="Arial" w:cs="Arial"/>
        </w:rPr>
        <w:t xml:space="preserve">ndex </w:t>
      </w:r>
      <w:r w:rsidR="00F41788">
        <w:rPr>
          <w:rFonts w:eastAsia="Arial" w:cs="Arial"/>
        </w:rPr>
        <w:t xml:space="preserve">increase announced in the </w:t>
      </w:r>
      <w:r w:rsidR="00FA40FD">
        <w:rPr>
          <w:rFonts w:eastAsia="Arial" w:cs="Arial"/>
        </w:rPr>
        <w:t>P</w:t>
      </w:r>
      <w:r w:rsidR="00F41788">
        <w:rPr>
          <w:rFonts w:eastAsia="Arial" w:cs="Arial"/>
        </w:rPr>
        <w:t xml:space="preserve">rovisional </w:t>
      </w:r>
      <w:r w:rsidR="00FA40FD">
        <w:rPr>
          <w:rFonts w:eastAsia="Arial" w:cs="Arial"/>
        </w:rPr>
        <w:t>S</w:t>
      </w:r>
      <w:r w:rsidR="00F41788">
        <w:rPr>
          <w:rFonts w:eastAsia="Arial" w:cs="Arial"/>
        </w:rPr>
        <w:t>ettlement</w:t>
      </w:r>
      <w:r w:rsidRPr="00F956F9">
        <w:rPr>
          <w:rFonts w:eastAsia="Arial" w:cs="Arial"/>
        </w:rPr>
        <w:t xml:space="preserve">. </w:t>
      </w:r>
      <w:r w:rsidR="00F41788">
        <w:rPr>
          <w:rFonts w:eastAsia="Arial" w:cs="Arial"/>
        </w:rPr>
        <w:t xml:space="preserve">We also receive a top up grant from Government as </w:t>
      </w:r>
      <w:r w:rsidRPr="00F956F9">
        <w:rPr>
          <w:rFonts w:eastAsia="Arial" w:cs="Arial"/>
        </w:rPr>
        <w:t xml:space="preserve">business rates collected </w:t>
      </w:r>
      <w:r w:rsidR="00F41788">
        <w:rPr>
          <w:rFonts w:eastAsia="Arial" w:cs="Arial"/>
        </w:rPr>
        <w:t>are</w:t>
      </w:r>
      <w:r w:rsidRPr="00F956F9">
        <w:rPr>
          <w:rFonts w:eastAsia="Arial" w:cs="Arial"/>
        </w:rPr>
        <w:t xml:space="preserve"> less than the assessed need </w:t>
      </w:r>
      <w:r w:rsidR="00F41788">
        <w:rPr>
          <w:rFonts w:eastAsia="Arial" w:cs="Arial"/>
        </w:rPr>
        <w:t>in Lancashire.</w:t>
      </w:r>
    </w:p>
    <w:p w14:paraId="4B029177" w14:textId="77777777" w:rsidR="00F956F9" w:rsidRPr="00F956F9" w:rsidRDefault="00F956F9" w:rsidP="00F956F9">
      <w:pPr>
        <w:spacing w:after="0"/>
        <w:jc w:val="both"/>
        <w:rPr>
          <w:rFonts w:eastAsia="Arial" w:cs="Arial"/>
        </w:rPr>
      </w:pPr>
    </w:p>
    <w:p w14:paraId="3C935E2B" w14:textId="45C94222" w:rsidR="00F956F9" w:rsidRPr="00F956F9" w:rsidRDefault="00F41788" w:rsidP="00F956F9">
      <w:pPr>
        <w:spacing w:after="0"/>
        <w:jc w:val="both"/>
        <w:rPr>
          <w:rFonts w:eastAsia="Arial" w:cs="Arial"/>
        </w:rPr>
      </w:pPr>
      <w:r>
        <w:rPr>
          <w:rFonts w:eastAsia="Arial" w:cs="Arial"/>
        </w:rPr>
        <w:t>T</w:t>
      </w:r>
      <w:r w:rsidR="00F956F9" w:rsidRPr="00F956F9">
        <w:rPr>
          <w:rFonts w:eastAsia="Arial" w:cs="Arial"/>
        </w:rPr>
        <w:t xml:space="preserve">he </w:t>
      </w:r>
      <w:r>
        <w:rPr>
          <w:rFonts w:eastAsia="Arial" w:cs="Arial"/>
        </w:rPr>
        <w:t xml:space="preserve">proposed </w:t>
      </w:r>
      <w:r w:rsidR="00F956F9" w:rsidRPr="00F956F9">
        <w:rPr>
          <w:rFonts w:eastAsia="Arial" w:cs="Arial"/>
        </w:rPr>
        <w:t>national review of business rates has been delayed</w:t>
      </w:r>
      <w:r w:rsidR="00455B09">
        <w:rPr>
          <w:rFonts w:eastAsia="Arial" w:cs="Arial"/>
        </w:rPr>
        <w:t xml:space="preserve"> and is not expected to be introduced until at least 2025/26. Lancashire County Council is part of the Lancashire Business Rates Pool, with additional income of £0.600m included within the 2023/24 budget. </w:t>
      </w:r>
    </w:p>
    <w:p w14:paraId="74CD4A6E" w14:textId="77777777" w:rsidR="005C4AE4" w:rsidRPr="008B4A55" w:rsidDel="00094F1B" w:rsidRDefault="005C4AE4" w:rsidP="00F956F9">
      <w:pPr>
        <w:spacing w:after="0"/>
        <w:jc w:val="both"/>
        <w:rPr>
          <w:highlight w:val="yellow"/>
        </w:rPr>
      </w:pPr>
    </w:p>
    <w:p w14:paraId="7194DBDC" w14:textId="67CE5323" w:rsidR="00640F8C" w:rsidRPr="00277BEB" w:rsidRDefault="00A94523" w:rsidP="00277BEB">
      <w:pPr>
        <w:rPr>
          <w:rFonts w:cs="Arial"/>
          <w:b/>
          <w:bCs/>
          <w:i/>
          <w:szCs w:val="24"/>
        </w:rPr>
      </w:pPr>
      <w:r w:rsidRPr="00277BEB">
        <w:rPr>
          <w:rFonts w:cs="Arial"/>
          <w:b/>
          <w:bCs/>
        </w:rPr>
        <w:t xml:space="preserve"> </w:t>
      </w:r>
      <w:r w:rsidR="005A2610">
        <w:rPr>
          <w:rFonts w:cs="Arial"/>
          <w:b/>
          <w:bCs/>
        </w:rPr>
        <w:t>3</w:t>
      </w:r>
      <w:r w:rsidR="00EE4778" w:rsidRPr="00277BEB">
        <w:rPr>
          <w:rFonts w:cs="Arial"/>
          <w:b/>
          <w:bCs/>
          <w:i/>
          <w:szCs w:val="24"/>
        </w:rPr>
        <w:t>.</w:t>
      </w:r>
      <w:r w:rsidR="005C4AE4" w:rsidRPr="00277BEB">
        <w:rPr>
          <w:rFonts w:cs="Arial"/>
          <w:b/>
          <w:bCs/>
          <w:i/>
          <w:szCs w:val="24"/>
        </w:rPr>
        <w:t>3</w:t>
      </w:r>
      <w:r w:rsidR="00EE4778" w:rsidRPr="00277BEB">
        <w:rPr>
          <w:rFonts w:cs="Arial"/>
          <w:b/>
          <w:bCs/>
          <w:i/>
          <w:szCs w:val="24"/>
        </w:rPr>
        <w:t xml:space="preserve"> Capital receipts</w:t>
      </w:r>
    </w:p>
    <w:p w14:paraId="01CAA68A" w14:textId="4F28F2D8" w:rsidR="00640F8C" w:rsidRPr="00277BEB" w:rsidRDefault="00F41788" w:rsidP="00640F8C">
      <w:pPr>
        <w:tabs>
          <w:tab w:val="left" w:pos="567"/>
          <w:tab w:val="left" w:pos="1134"/>
        </w:tabs>
        <w:spacing w:after="0"/>
        <w:jc w:val="both"/>
        <w:rPr>
          <w:rFonts w:cs="Arial"/>
        </w:rPr>
      </w:pPr>
      <w:r>
        <w:rPr>
          <w:rFonts w:cs="Arial"/>
        </w:rPr>
        <w:t>Traditionally</w:t>
      </w:r>
      <w:r w:rsidR="5001532C" w:rsidRPr="00277BEB">
        <w:rPr>
          <w:rFonts w:cs="Arial"/>
        </w:rPr>
        <w:t>,</w:t>
      </w:r>
      <w:r w:rsidR="00EE4778" w:rsidRPr="00277BEB">
        <w:rPr>
          <w:rFonts w:cs="Arial"/>
        </w:rPr>
        <w:t xml:space="preserve"> the use of capital receipts (income derived from the sale of long</w:t>
      </w:r>
      <w:r w:rsidR="3DC3B913" w:rsidRPr="00277BEB">
        <w:rPr>
          <w:rFonts w:cs="Arial"/>
        </w:rPr>
        <w:t>-</w:t>
      </w:r>
      <w:r w:rsidR="00EE4778" w:rsidRPr="00277BEB">
        <w:rPr>
          <w:rFonts w:cs="Arial"/>
        </w:rPr>
        <w:t>term assets) has been restricted to funding capital expenditure or the repayment of debt. However, from 1</w:t>
      </w:r>
      <w:r w:rsidR="00EE4778" w:rsidRPr="00277BEB">
        <w:rPr>
          <w:rFonts w:cs="Arial"/>
          <w:vertAlign w:val="superscript"/>
        </w:rPr>
        <w:t>st</w:t>
      </w:r>
      <w:r w:rsidR="00EE4778" w:rsidRPr="00277BEB">
        <w:rPr>
          <w:rFonts w:cs="Arial"/>
        </w:rPr>
        <w:t xml:space="preserve"> April 2016 the Government introduced the flexibility for capital receipts to be used to fund revenue expenditure which meets certain criteria</w:t>
      </w:r>
      <w:r>
        <w:rPr>
          <w:rFonts w:cs="Arial"/>
        </w:rPr>
        <w:t xml:space="preserve">, primarily </w:t>
      </w:r>
      <w:r w:rsidR="00EE4778" w:rsidRPr="00277BEB">
        <w:rPr>
          <w:rFonts w:cs="Arial"/>
        </w:rPr>
        <w:t xml:space="preserve">to generate ongoing revenue savings </w:t>
      </w:r>
      <w:r w:rsidRPr="005158B4">
        <w:rPr>
          <w:rFonts w:cs="Arial"/>
          <w:szCs w:val="24"/>
        </w:rPr>
        <w:t xml:space="preserve">or improvements in the </w:t>
      </w:r>
      <w:proofErr w:type="gramStart"/>
      <w:r w:rsidRPr="005158B4">
        <w:rPr>
          <w:rFonts w:cs="Arial"/>
          <w:szCs w:val="24"/>
        </w:rPr>
        <w:t xml:space="preserve">quality of </w:t>
      </w:r>
      <w:r>
        <w:rPr>
          <w:rFonts w:cs="Arial"/>
          <w:szCs w:val="24"/>
        </w:rPr>
        <w:t>service</w:t>
      </w:r>
      <w:proofErr w:type="gramEnd"/>
      <w:r>
        <w:rPr>
          <w:rFonts w:cs="Arial"/>
          <w:szCs w:val="24"/>
        </w:rPr>
        <w:t xml:space="preserve"> </w:t>
      </w:r>
      <w:r w:rsidRPr="005158B4">
        <w:rPr>
          <w:rFonts w:cs="Arial"/>
          <w:szCs w:val="24"/>
        </w:rPr>
        <w:lastRenderedPageBreak/>
        <w:t>provision</w:t>
      </w:r>
      <w:r w:rsidR="00EE4778" w:rsidRPr="00277BEB">
        <w:rPr>
          <w:rFonts w:cs="Arial"/>
        </w:rPr>
        <w:t xml:space="preserve">. </w:t>
      </w:r>
      <w:r w:rsidRPr="00277BEB">
        <w:rPr>
          <w:rFonts w:cs="Arial"/>
        </w:rPr>
        <w:t>Th</w:t>
      </w:r>
      <w:r>
        <w:rPr>
          <w:rFonts w:cs="Arial"/>
        </w:rPr>
        <w:t>is</w:t>
      </w:r>
      <w:r w:rsidRPr="00277BEB">
        <w:rPr>
          <w:rFonts w:cs="Arial"/>
        </w:rPr>
        <w:t xml:space="preserve"> </w:t>
      </w:r>
      <w:r w:rsidR="00EE4778" w:rsidRPr="00277BEB">
        <w:rPr>
          <w:rFonts w:cs="Arial"/>
        </w:rPr>
        <w:t xml:space="preserve">flexibility </w:t>
      </w:r>
      <w:r>
        <w:rPr>
          <w:rFonts w:cs="Arial"/>
        </w:rPr>
        <w:t>continues</w:t>
      </w:r>
      <w:r w:rsidR="00277BEB">
        <w:rPr>
          <w:rFonts w:cs="Arial"/>
        </w:rPr>
        <w:t xml:space="preserve"> in 2023/24 and 2024/25</w:t>
      </w:r>
      <w:r>
        <w:rPr>
          <w:rFonts w:cs="Arial"/>
        </w:rPr>
        <w:t xml:space="preserve"> and t</w:t>
      </w:r>
      <w:r w:rsidR="00277BEB">
        <w:rPr>
          <w:rFonts w:cs="Arial"/>
        </w:rPr>
        <w:t xml:space="preserve">he </w:t>
      </w:r>
      <w:proofErr w:type="gramStart"/>
      <w:r w:rsidR="00277BEB">
        <w:rPr>
          <w:rFonts w:cs="Arial"/>
        </w:rPr>
        <w:t>medium term</w:t>
      </w:r>
      <w:proofErr w:type="gramEnd"/>
      <w:r w:rsidR="00277BEB">
        <w:rPr>
          <w:rFonts w:cs="Arial"/>
        </w:rPr>
        <w:t xml:space="preserve"> financial strategy includes £5m of </w:t>
      </w:r>
      <w:r w:rsidR="005158B4">
        <w:rPr>
          <w:rFonts w:cs="Arial"/>
        </w:rPr>
        <w:t>capital receipts</w:t>
      </w:r>
      <w:r>
        <w:rPr>
          <w:rFonts w:cs="Arial"/>
        </w:rPr>
        <w:t xml:space="preserve"> in 2023/24</w:t>
      </w:r>
      <w:r w:rsidR="005158B4">
        <w:rPr>
          <w:rFonts w:cs="Arial"/>
        </w:rPr>
        <w:t xml:space="preserve">. </w:t>
      </w:r>
    </w:p>
    <w:p w14:paraId="1231BE67" w14:textId="77777777" w:rsidR="00640F8C" w:rsidRPr="008B4A55" w:rsidRDefault="00640F8C" w:rsidP="00640F8C">
      <w:pPr>
        <w:tabs>
          <w:tab w:val="left" w:pos="567"/>
          <w:tab w:val="left" w:pos="1134"/>
        </w:tabs>
        <w:spacing w:after="0"/>
        <w:jc w:val="both"/>
        <w:rPr>
          <w:rFonts w:cs="Arial"/>
          <w:szCs w:val="24"/>
          <w:highlight w:val="yellow"/>
        </w:rPr>
      </w:pPr>
    </w:p>
    <w:p w14:paraId="095B7101" w14:textId="3B4F2B03" w:rsidR="00640F8C" w:rsidRPr="005158B4" w:rsidRDefault="00EE4778" w:rsidP="00640F8C">
      <w:pPr>
        <w:tabs>
          <w:tab w:val="left" w:pos="567"/>
          <w:tab w:val="left" w:pos="1134"/>
        </w:tabs>
        <w:spacing w:after="0"/>
        <w:jc w:val="both"/>
        <w:rPr>
          <w:rFonts w:cs="Arial"/>
          <w:szCs w:val="24"/>
        </w:rPr>
      </w:pPr>
      <w:r w:rsidRPr="005158B4">
        <w:rPr>
          <w:rFonts w:cs="Arial"/>
          <w:szCs w:val="24"/>
        </w:rPr>
        <w:t>The capital receipts in 202</w:t>
      </w:r>
      <w:r w:rsidR="005158B4" w:rsidRPr="005158B4">
        <w:rPr>
          <w:rFonts w:cs="Arial"/>
          <w:szCs w:val="24"/>
        </w:rPr>
        <w:t>3</w:t>
      </w:r>
      <w:r w:rsidRPr="005158B4">
        <w:rPr>
          <w:rFonts w:cs="Arial"/>
          <w:szCs w:val="24"/>
        </w:rPr>
        <w:t>/2</w:t>
      </w:r>
      <w:r w:rsidR="005158B4" w:rsidRPr="005158B4">
        <w:rPr>
          <w:rFonts w:cs="Arial"/>
          <w:szCs w:val="24"/>
        </w:rPr>
        <w:t>4</w:t>
      </w:r>
      <w:r w:rsidRPr="005158B4">
        <w:rPr>
          <w:rFonts w:cs="Arial"/>
          <w:szCs w:val="24"/>
        </w:rPr>
        <w:t xml:space="preserve"> will be applied to the following areas</w:t>
      </w:r>
      <w:r w:rsidR="001A7237">
        <w:rPr>
          <w:rFonts w:cs="Arial"/>
          <w:szCs w:val="24"/>
        </w:rPr>
        <w:t>:</w:t>
      </w:r>
      <w:r w:rsidRPr="005158B4">
        <w:rPr>
          <w:rFonts w:cs="Arial"/>
          <w:szCs w:val="24"/>
        </w:rPr>
        <w:t xml:space="preserve"> </w:t>
      </w:r>
    </w:p>
    <w:p w14:paraId="36FEB5B0" w14:textId="77777777" w:rsidR="00640F8C" w:rsidRPr="005158B4" w:rsidRDefault="00640F8C" w:rsidP="00640F8C">
      <w:pPr>
        <w:tabs>
          <w:tab w:val="left" w:pos="567"/>
          <w:tab w:val="left" w:pos="1134"/>
        </w:tabs>
        <w:spacing w:after="0"/>
        <w:jc w:val="both"/>
        <w:rPr>
          <w:rFonts w:cs="Arial"/>
          <w:szCs w:val="24"/>
        </w:rPr>
      </w:pPr>
    </w:p>
    <w:p w14:paraId="220912FB" w14:textId="0091A24E" w:rsidR="00640F8C" w:rsidRPr="005158B4" w:rsidRDefault="00EE4778" w:rsidP="00640F8C">
      <w:pPr>
        <w:tabs>
          <w:tab w:val="left" w:pos="567"/>
          <w:tab w:val="left" w:pos="1134"/>
        </w:tabs>
        <w:spacing w:after="0"/>
        <w:jc w:val="both"/>
        <w:rPr>
          <w:rFonts w:cs="Arial"/>
          <w:b/>
          <w:i/>
          <w:iCs/>
          <w:szCs w:val="24"/>
          <w:u w:val="single"/>
        </w:rPr>
      </w:pPr>
      <w:r w:rsidRPr="005158B4">
        <w:rPr>
          <w:rFonts w:cs="Arial"/>
          <w:b/>
          <w:i/>
          <w:iCs/>
          <w:szCs w:val="24"/>
          <w:u w:val="single"/>
        </w:rPr>
        <w:t xml:space="preserve">Table </w:t>
      </w:r>
      <w:r w:rsidR="00B956D1">
        <w:rPr>
          <w:rFonts w:cs="Arial"/>
          <w:b/>
          <w:i/>
          <w:iCs/>
          <w:szCs w:val="24"/>
          <w:u w:val="single"/>
        </w:rPr>
        <w:t>6</w:t>
      </w:r>
    </w:p>
    <w:p w14:paraId="30D7AA69" w14:textId="77777777" w:rsidR="00640F8C" w:rsidRPr="008B4A55" w:rsidRDefault="00640F8C" w:rsidP="00640F8C">
      <w:pPr>
        <w:tabs>
          <w:tab w:val="left" w:pos="567"/>
          <w:tab w:val="left" w:pos="1134"/>
        </w:tabs>
        <w:spacing w:after="0"/>
        <w:jc w:val="both"/>
        <w:rPr>
          <w:rFonts w:cs="Arial"/>
          <w:szCs w:val="24"/>
          <w:highlight w:val="yellow"/>
        </w:rPr>
      </w:pPr>
    </w:p>
    <w:tbl>
      <w:tblPr>
        <w:tblStyle w:val="TableGrid19"/>
        <w:tblW w:w="0" w:type="auto"/>
        <w:tblLook w:val="04A0" w:firstRow="1" w:lastRow="0" w:firstColumn="1" w:lastColumn="0" w:noHBand="0" w:noVBand="1"/>
      </w:tblPr>
      <w:tblGrid>
        <w:gridCol w:w="7488"/>
        <w:gridCol w:w="1508"/>
      </w:tblGrid>
      <w:tr w:rsidR="00904E3B" w:rsidRPr="008B4A55" w14:paraId="5006A94B" w14:textId="77777777" w:rsidTr="00776166">
        <w:trPr>
          <w:trHeight w:val="394"/>
        </w:trPr>
        <w:tc>
          <w:tcPr>
            <w:tcW w:w="7488" w:type="dxa"/>
            <w:tcBorders>
              <w:top w:val="single" w:sz="12" w:space="0" w:color="auto"/>
              <w:left w:val="single" w:sz="12" w:space="0" w:color="auto"/>
            </w:tcBorders>
          </w:tcPr>
          <w:p w14:paraId="64BABAA9" w14:textId="77777777" w:rsidR="00640F8C" w:rsidRPr="00D847DC" w:rsidRDefault="00EE4778" w:rsidP="00640F8C">
            <w:pPr>
              <w:tabs>
                <w:tab w:val="left" w:pos="567"/>
                <w:tab w:val="left" w:pos="1134"/>
              </w:tabs>
              <w:jc w:val="both"/>
              <w:rPr>
                <w:rFonts w:cs="Arial"/>
                <w:b/>
                <w:szCs w:val="24"/>
              </w:rPr>
            </w:pPr>
            <w:r w:rsidRPr="00D847DC">
              <w:rPr>
                <w:rFonts w:cs="Arial"/>
                <w:b/>
                <w:szCs w:val="24"/>
              </w:rPr>
              <w:t>Service Area</w:t>
            </w:r>
          </w:p>
        </w:tc>
        <w:tc>
          <w:tcPr>
            <w:tcW w:w="1508" w:type="dxa"/>
            <w:tcBorders>
              <w:top w:val="single" w:sz="12" w:space="0" w:color="auto"/>
              <w:right w:val="single" w:sz="12" w:space="0" w:color="auto"/>
            </w:tcBorders>
          </w:tcPr>
          <w:p w14:paraId="080CD8A2" w14:textId="77777777" w:rsidR="00640F8C" w:rsidRPr="00D847DC" w:rsidRDefault="00EE4778" w:rsidP="00640F8C">
            <w:pPr>
              <w:tabs>
                <w:tab w:val="left" w:pos="567"/>
                <w:tab w:val="left" w:pos="1134"/>
              </w:tabs>
              <w:jc w:val="right"/>
              <w:rPr>
                <w:rFonts w:cs="Arial"/>
                <w:b/>
                <w:szCs w:val="24"/>
              </w:rPr>
            </w:pPr>
            <w:r w:rsidRPr="00D847DC">
              <w:rPr>
                <w:rFonts w:cs="Arial"/>
                <w:b/>
                <w:szCs w:val="24"/>
              </w:rPr>
              <w:t>Value (£m)</w:t>
            </w:r>
          </w:p>
        </w:tc>
      </w:tr>
      <w:tr w:rsidR="008D0B57" w:rsidRPr="008B4A55" w14:paraId="0AB12B11" w14:textId="77777777" w:rsidTr="00776166">
        <w:tc>
          <w:tcPr>
            <w:tcW w:w="7488" w:type="dxa"/>
            <w:tcBorders>
              <w:left w:val="single" w:sz="12" w:space="0" w:color="auto"/>
            </w:tcBorders>
          </w:tcPr>
          <w:p w14:paraId="0CD20112" w14:textId="4379A7B7" w:rsidR="008D0B57" w:rsidRPr="00D847DC" w:rsidRDefault="008D0B57" w:rsidP="008D0B57">
            <w:pPr>
              <w:tabs>
                <w:tab w:val="left" w:pos="567"/>
                <w:tab w:val="left" w:pos="1134"/>
              </w:tabs>
              <w:jc w:val="both"/>
              <w:rPr>
                <w:rFonts w:cs="Arial"/>
                <w:szCs w:val="24"/>
              </w:rPr>
            </w:pPr>
            <w:r w:rsidRPr="009C410F">
              <w:t>Human Resources</w:t>
            </w:r>
          </w:p>
        </w:tc>
        <w:tc>
          <w:tcPr>
            <w:tcW w:w="1508" w:type="dxa"/>
            <w:tcBorders>
              <w:right w:val="single" w:sz="12" w:space="0" w:color="auto"/>
            </w:tcBorders>
          </w:tcPr>
          <w:p w14:paraId="0710B151" w14:textId="3E6A0CB2" w:rsidR="008D0B57" w:rsidRPr="00D847DC" w:rsidRDefault="008D0B57" w:rsidP="008D0B57">
            <w:pPr>
              <w:tabs>
                <w:tab w:val="left" w:pos="567"/>
                <w:tab w:val="left" w:pos="1134"/>
              </w:tabs>
              <w:jc w:val="right"/>
              <w:rPr>
                <w:rFonts w:cs="Arial"/>
                <w:szCs w:val="24"/>
              </w:rPr>
            </w:pPr>
            <w:r>
              <w:rPr>
                <w:rFonts w:cs="Arial"/>
                <w:szCs w:val="24"/>
              </w:rPr>
              <w:t>0.38</w:t>
            </w:r>
            <w:r w:rsidR="00FA40FD">
              <w:rPr>
                <w:rFonts w:cs="Arial"/>
                <w:szCs w:val="24"/>
              </w:rPr>
              <w:t>0</w:t>
            </w:r>
          </w:p>
        </w:tc>
      </w:tr>
      <w:tr w:rsidR="008D0B57" w:rsidRPr="008B4A55" w14:paraId="500B6907" w14:textId="77777777" w:rsidTr="00776166">
        <w:tc>
          <w:tcPr>
            <w:tcW w:w="7488" w:type="dxa"/>
            <w:tcBorders>
              <w:left w:val="single" w:sz="12" w:space="0" w:color="auto"/>
            </w:tcBorders>
          </w:tcPr>
          <w:p w14:paraId="32197921" w14:textId="5472650A" w:rsidR="008D0B57" w:rsidRPr="00D847DC" w:rsidRDefault="008D0B57" w:rsidP="008D0B57">
            <w:pPr>
              <w:tabs>
                <w:tab w:val="left" w:pos="567"/>
                <w:tab w:val="left" w:pos="1134"/>
              </w:tabs>
              <w:jc w:val="both"/>
              <w:rPr>
                <w:rFonts w:cs="Arial"/>
                <w:szCs w:val="24"/>
              </w:rPr>
            </w:pPr>
            <w:r w:rsidRPr="009C410F">
              <w:t>Childrens</w:t>
            </w:r>
            <w:r w:rsidRPr="00D847DC">
              <w:rPr>
                <w:rFonts w:cs="Arial"/>
                <w:szCs w:val="24"/>
              </w:rPr>
              <w:t xml:space="preserve"> Social Care</w:t>
            </w:r>
          </w:p>
        </w:tc>
        <w:tc>
          <w:tcPr>
            <w:tcW w:w="1508" w:type="dxa"/>
            <w:tcBorders>
              <w:right w:val="single" w:sz="12" w:space="0" w:color="auto"/>
            </w:tcBorders>
          </w:tcPr>
          <w:p w14:paraId="5B83F9A1" w14:textId="140CA2B8" w:rsidR="008D0B57" w:rsidRPr="00D847DC" w:rsidRDefault="008D0B57" w:rsidP="008D0B57">
            <w:pPr>
              <w:tabs>
                <w:tab w:val="left" w:pos="567"/>
                <w:tab w:val="left" w:pos="1134"/>
              </w:tabs>
              <w:jc w:val="right"/>
              <w:rPr>
                <w:rFonts w:cs="Arial"/>
                <w:szCs w:val="24"/>
              </w:rPr>
            </w:pPr>
            <w:r>
              <w:rPr>
                <w:rFonts w:cs="Arial"/>
                <w:szCs w:val="24"/>
              </w:rPr>
              <w:t>1.154</w:t>
            </w:r>
          </w:p>
        </w:tc>
      </w:tr>
      <w:tr w:rsidR="008D0B57" w:rsidRPr="008B4A55" w14:paraId="341BAF6B" w14:textId="77777777" w:rsidTr="00776166">
        <w:tc>
          <w:tcPr>
            <w:tcW w:w="7488" w:type="dxa"/>
            <w:tcBorders>
              <w:left w:val="single" w:sz="12" w:space="0" w:color="auto"/>
            </w:tcBorders>
          </w:tcPr>
          <w:p w14:paraId="07DC9978" w14:textId="321DC564" w:rsidR="008D0B57" w:rsidRPr="00D847DC" w:rsidRDefault="008D0B57" w:rsidP="008D0B57">
            <w:pPr>
              <w:tabs>
                <w:tab w:val="left" w:pos="567"/>
                <w:tab w:val="left" w:pos="1134"/>
              </w:tabs>
              <w:jc w:val="both"/>
              <w:rPr>
                <w:rFonts w:cs="Arial"/>
                <w:szCs w:val="24"/>
              </w:rPr>
            </w:pPr>
            <w:r w:rsidRPr="009C410F">
              <w:t xml:space="preserve">Organisational Development  </w:t>
            </w:r>
          </w:p>
        </w:tc>
        <w:tc>
          <w:tcPr>
            <w:tcW w:w="1508" w:type="dxa"/>
            <w:tcBorders>
              <w:right w:val="single" w:sz="12" w:space="0" w:color="auto"/>
            </w:tcBorders>
          </w:tcPr>
          <w:p w14:paraId="34F8492A" w14:textId="3660774E" w:rsidR="008D0B57" w:rsidRPr="00D847DC" w:rsidRDefault="008D0B57" w:rsidP="008D0B57">
            <w:pPr>
              <w:tabs>
                <w:tab w:val="left" w:pos="567"/>
                <w:tab w:val="left" w:pos="1134"/>
              </w:tabs>
              <w:jc w:val="right"/>
              <w:rPr>
                <w:rFonts w:cs="Arial"/>
                <w:szCs w:val="24"/>
              </w:rPr>
            </w:pPr>
            <w:r>
              <w:rPr>
                <w:rFonts w:cs="Arial"/>
                <w:szCs w:val="24"/>
              </w:rPr>
              <w:t>0.653</w:t>
            </w:r>
          </w:p>
        </w:tc>
      </w:tr>
      <w:tr w:rsidR="008D0B57" w:rsidRPr="008B4A55" w14:paraId="60D0DBDC" w14:textId="77777777" w:rsidTr="00776166">
        <w:tc>
          <w:tcPr>
            <w:tcW w:w="7488" w:type="dxa"/>
            <w:tcBorders>
              <w:left w:val="single" w:sz="12" w:space="0" w:color="auto"/>
            </w:tcBorders>
          </w:tcPr>
          <w:p w14:paraId="6EFF9CA1" w14:textId="644ED398" w:rsidR="008D0B57" w:rsidRPr="00D847DC" w:rsidRDefault="008D0B57" w:rsidP="008D0B57">
            <w:pPr>
              <w:tabs>
                <w:tab w:val="left" w:pos="567"/>
                <w:tab w:val="left" w:pos="1134"/>
              </w:tabs>
              <w:jc w:val="both"/>
              <w:rPr>
                <w:rFonts w:cs="Arial"/>
                <w:szCs w:val="24"/>
              </w:rPr>
            </w:pPr>
            <w:r w:rsidRPr="009C410F">
              <w:t>Adult Social Care</w:t>
            </w:r>
          </w:p>
        </w:tc>
        <w:tc>
          <w:tcPr>
            <w:tcW w:w="1508" w:type="dxa"/>
            <w:tcBorders>
              <w:right w:val="single" w:sz="12" w:space="0" w:color="auto"/>
            </w:tcBorders>
          </w:tcPr>
          <w:p w14:paraId="4603714A" w14:textId="7BADCA6E" w:rsidR="008D0B57" w:rsidRPr="00D847DC" w:rsidRDefault="008D0B57" w:rsidP="008D0B57">
            <w:pPr>
              <w:tabs>
                <w:tab w:val="left" w:pos="567"/>
                <w:tab w:val="left" w:pos="1134"/>
              </w:tabs>
              <w:jc w:val="right"/>
              <w:rPr>
                <w:rFonts w:cs="Arial"/>
                <w:szCs w:val="24"/>
              </w:rPr>
            </w:pPr>
            <w:r>
              <w:rPr>
                <w:rFonts w:cs="Arial"/>
                <w:szCs w:val="24"/>
              </w:rPr>
              <w:t>1.310</w:t>
            </w:r>
          </w:p>
        </w:tc>
      </w:tr>
      <w:tr w:rsidR="008D0B57" w:rsidRPr="008B4A55" w14:paraId="7FBBAB05" w14:textId="77777777" w:rsidTr="00776166">
        <w:tc>
          <w:tcPr>
            <w:tcW w:w="7488" w:type="dxa"/>
            <w:tcBorders>
              <w:left w:val="single" w:sz="12" w:space="0" w:color="auto"/>
            </w:tcBorders>
            <w:shd w:val="clear" w:color="auto" w:fill="auto"/>
          </w:tcPr>
          <w:p w14:paraId="376D399D" w14:textId="23D2FF21" w:rsidR="008D0B57" w:rsidRPr="00D847DC" w:rsidRDefault="008D0B57" w:rsidP="008D0B57">
            <w:pPr>
              <w:tabs>
                <w:tab w:val="left" w:pos="567"/>
                <w:tab w:val="left" w:pos="1134"/>
              </w:tabs>
              <w:jc w:val="both"/>
              <w:rPr>
                <w:rFonts w:cs="Arial"/>
                <w:szCs w:val="24"/>
              </w:rPr>
            </w:pPr>
            <w:r w:rsidRPr="009C410F">
              <w:t>Legal and Democratic</w:t>
            </w:r>
          </w:p>
        </w:tc>
        <w:tc>
          <w:tcPr>
            <w:tcW w:w="1508" w:type="dxa"/>
            <w:tcBorders>
              <w:right w:val="single" w:sz="12" w:space="0" w:color="auto"/>
            </w:tcBorders>
            <w:shd w:val="clear" w:color="auto" w:fill="auto"/>
          </w:tcPr>
          <w:p w14:paraId="0209EE6F" w14:textId="649C0895" w:rsidR="008D0B57" w:rsidRPr="00D847DC" w:rsidRDefault="008D0B57" w:rsidP="008D0B57">
            <w:pPr>
              <w:tabs>
                <w:tab w:val="left" w:pos="567"/>
                <w:tab w:val="left" w:pos="1134"/>
              </w:tabs>
              <w:jc w:val="right"/>
              <w:rPr>
                <w:rFonts w:cs="Arial"/>
                <w:szCs w:val="24"/>
              </w:rPr>
            </w:pPr>
            <w:r>
              <w:rPr>
                <w:rFonts w:cs="Arial"/>
                <w:szCs w:val="24"/>
              </w:rPr>
              <w:t>0.122</w:t>
            </w:r>
          </w:p>
        </w:tc>
      </w:tr>
      <w:tr w:rsidR="008D0B57" w:rsidRPr="008B4A55" w14:paraId="7DD34863" w14:textId="77777777" w:rsidTr="00776166">
        <w:tc>
          <w:tcPr>
            <w:tcW w:w="7488" w:type="dxa"/>
            <w:tcBorders>
              <w:left w:val="single" w:sz="12" w:space="0" w:color="auto"/>
            </w:tcBorders>
          </w:tcPr>
          <w:p w14:paraId="62BFF9FB" w14:textId="5B3D7B1E" w:rsidR="008D0B57" w:rsidRPr="00D847DC" w:rsidRDefault="008D0B57" w:rsidP="008D0B57">
            <w:pPr>
              <w:tabs>
                <w:tab w:val="left" w:pos="567"/>
                <w:tab w:val="left" w:pos="1134"/>
              </w:tabs>
              <w:jc w:val="both"/>
              <w:rPr>
                <w:rFonts w:cs="Arial"/>
                <w:szCs w:val="24"/>
              </w:rPr>
            </w:pPr>
            <w:r w:rsidRPr="00D847DC">
              <w:rPr>
                <w:rFonts w:cs="Arial"/>
                <w:szCs w:val="24"/>
              </w:rPr>
              <w:t>Estates</w:t>
            </w:r>
          </w:p>
        </w:tc>
        <w:tc>
          <w:tcPr>
            <w:tcW w:w="1508" w:type="dxa"/>
            <w:tcBorders>
              <w:right w:val="single" w:sz="12" w:space="0" w:color="auto"/>
            </w:tcBorders>
          </w:tcPr>
          <w:p w14:paraId="2A87AE97" w14:textId="0770F2EB" w:rsidR="008D0B57" w:rsidRPr="00D847DC" w:rsidRDefault="008D0B57" w:rsidP="008D0B57">
            <w:pPr>
              <w:tabs>
                <w:tab w:val="left" w:pos="567"/>
                <w:tab w:val="left" w:pos="1134"/>
              </w:tabs>
              <w:jc w:val="right"/>
              <w:rPr>
                <w:rFonts w:cs="Arial"/>
                <w:szCs w:val="24"/>
              </w:rPr>
            </w:pPr>
            <w:r>
              <w:rPr>
                <w:rFonts w:cs="Arial"/>
                <w:szCs w:val="24"/>
              </w:rPr>
              <w:t>0.200</w:t>
            </w:r>
          </w:p>
        </w:tc>
      </w:tr>
      <w:tr w:rsidR="008D0B57" w:rsidRPr="008B4A55" w14:paraId="4AD06417" w14:textId="77777777" w:rsidTr="00776166">
        <w:tc>
          <w:tcPr>
            <w:tcW w:w="7488" w:type="dxa"/>
            <w:tcBorders>
              <w:left w:val="single" w:sz="12" w:space="0" w:color="auto"/>
            </w:tcBorders>
          </w:tcPr>
          <w:p w14:paraId="5A19ACB9" w14:textId="0302C675" w:rsidR="008D0B57" w:rsidRPr="00D847DC" w:rsidRDefault="008D0B57" w:rsidP="008D0B57">
            <w:pPr>
              <w:tabs>
                <w:tab w:val="left" w:pos="567"/>
                <w:tab w:val="left" w:pos="1134"/>
              </w:tabs>
              <w:jc w:val="both"/>
              <w:rPr>
                <w:rFonts w:cs="Arial"/>
                <w:szCs w:val="24"/>
              </w:rPr>
            </w:pPr>
            <w:r w:rsidRPr="00D847DC">
              <w:rPr>
                <w:rFonts w:cs="Arial"/>
                <w:szCs w:val="24"/>
              </w:rPr>
              <w:t>Facilities Management</w:t>
            </w:r>
          </w:p>
        </w:tc>
        <w:tc>
          <w:tcPr>
            <w:tcW w:w="1508" w:type="dxa"/>
            <w:tcBorders>
              <w:right w:val="single" w:sz="12" w:space="0" w:color="auto"/>
            </w:tcBorders>
          </w:tcPr>
          <w:p w14:paraId="6CF7885A" w14:textId="3A6CB3A1" w:rsidR="008D0B57" w:rsidRPr="00D847DC" w:rsidRDefault="008D0B57" w:rsidP="008D0B57">
            <w:pPr>
              <w:tabs>
                <w:tab w:val="left" w:pos="567"/>
                <w:tab w:val="left" w:pos="1134"/>
              </w:tabs>
              <w:jc w:val="right"/>
              <w:rPr>
                <w:rFonts w:cs="Arial"/>
                <w:szCs w:val="24"/>
              </w:rPr>
            </w:pPr>
            <w:r>
              <w:rPr>
                <w:rFonts w:cs="Arial"/>
                <w:szCs w:val="24"/>
              </w:rPr>
              <w:t>0.316</w:t>
            </w:r>
          </w:p>
        </w:tc>
      </w:tr>
      <w:tr w:rsidR="008D0B57" w:rsidRPr="008B4A55" w14:paraId="2EE3FC82" w14:textId="77777777" w:rsidTr="00776166">
        <w:tc>
          <w:tcPr>
            <w:tcW w:w="7488" w:type="dxa"/>
            <w:tcBorders>
              <w:left w:val="single" w:sz="12" w:space="0" w:color="auto"/>
            </w:tcBorders>
          </w:tcPr>
          <w:p w14:paraId="430C6499" w14:textId="59C42281" w:rsidR="008D0B57" w:rsidRPr="00D847DC" w:rsidRDefault="008D0B57" w:rsidP="008D0B57">
            <w:pPr>
              <w:tabs>
                <w:tab w:val="left" w:pos="567"/>
                <w:tab w:val="left" w:pos="1134"/>
              </w:tabs>
              <w:jc w:val="both"/>
              <w:rPr>
                <w:rFonts w:cs="Arial"/>
                <w:szCs w:val="24"/>
              </w:rPr>
            </w:pPr>
            <w:r w:rsidRPr="00D847DC">
              <w:rPr>
                <w:rFonts w:cs="Arial"/>
                <w:szCs w:val="24"/>
              </w:rPr>
              <w:t>Asset Management</w:t>
            </w:r>
          </w:p>
        </w:tc>
        <w:tc>
          <w:tcPr>
            <w:tcW w:w="1508" w:type="dxa"/>
            <w:tcBorders>
              <w:right w:val="single" w:sz="12" w:space="0" w:color="auto"/>
            </w:tcBorders>
          </w:tcPr>
          <w:p w14:paraId="4D7C26A9" w14:textId="667147AB" w:rsidR="008D0B57" w:rsidRPr="00D847DC" w:rsidRDefault="008D0B57" w:rsidP="008D0B57">
            <w:pPr>
              <w:tabs>
                <w:tab w:val="left" w:pos="567"/>
                <w:tab w:val="left" w:pos="1134"/>
              </w:tabs>
              <w:jc w:val="right"/>
              <w:rPr>
                <w:rFonts w:cs="Arial"/>
                <w:szCs w:val="24"/>
              </w:rPr>
            </w:pPr>
            <w:r>
              <w:rPr>
                <w:rFonts w:cs="Arial"/>
                <w:szCs w:val="24"/>
              </w:rPr>
              <w:t>0.240</w:t>
            </w:r>
          </w:p>
        </w:tc>
      </w:tr>
      <w:tr w:rsidR="008D0B57" w:rsidRPr="008B4A55" w14:paraId="7726D4D7" w14:textId="77777777" w:rsidTr="00776166">
        <w:tc>
          <w:tcPr>
            <w:tcW w:w="7488" w:type="dxa"/>
            <w:tcBorders>
              <w:left w:val="single" w:sz="12" w:space="0" w:color="auto"/>
            </w:tcBorders>
          </w:tcPr>
          <w:p w14:paraId="06F01619" w14:textId="4207E68F" w:rsidR="008D0B57" w:rsidRPr="00D847DC" w:rsidRDefault="008D0B57" w:rsidP="008D0B57">
            <w:pPr>
              <w:tabs>
                <w:tab w:val="left" w:pos="567"/>
                <w:tab w:val="left" w:pos="1134"/>
              </w:tabs>
              <w:jc w:val="both"/>
              <w:rPr>
                <w:rFonts w:cs="Arial"/>
                <w:szCs w:val="24"/>
              </w:rPr>
            </w:pPr>
            <w:r w:rsidRPr="00D847DC">
              <w:rPr>
                <w:rFonts w:cs="Arial"/>
                <w:szCs w:val="24"/>
              </w:rPr>
              <w:t xml:space="preserve">Exchequer Services </w:t>
            </w:r>
          </w:p>
        </w:tc>
        <w:tc>
          <w:tcPr>
            <w:tcW w:w="1508" w:type="dxa"/>
            <w:tcBorders>
              <w:right w:val="single" w:sz="12" w:space="0" w:color="auto"/>
            </w:tcBorders>
          </w:tcPr>
          <w:p w14:paraId="09C7C199" w14:textId="783B86CF" w:rsidR="008D0B57" w:rsidRPr="00D847DC" w:rsidRDefault="008D0B57" w:rsidP="008D0B57">
            <w:pPr>
              <w:tabs>
                <w:tab w:val="left" w:pos="567"/>
                <w:tab w:val="left" w:pos="1134"/>
              </w:tabs>
              <w:jc w:val="right"/>
              <w:rPr>
                <w:rFonts w:cs="Arial"/>
                <w:szCs w:val="24"/>
              </w:rPr>
            </w:pPr>
            <w:r>
              <w:rPr>
                <w:rFonts w:cs="Arial"/>
                <w:szCs w:val="24"/>
              </w:rPr>
              <w:t>0.332</w:t>
            </w:r>
          </w:p>
        </w:tc>
      </w:tr>
      <w:tr w:rsidR="008D0B57" w:rsidRPr="008B4A55" w14:paraId="2C1559E3" w14:textId="77777777" w:rsidTr="00776166">
        <w:tc>
          <w:tcPr>
            <w:tcW w:w="7488" w:type="dxa"/>
            <w:tcBorders>
              <w:left w:val="single" w:sz="12" w:space="0" w:color="auto"/>
            </w:tcBorders>
          </w:tcPr>
          <w:p w14:paraId="365EF964" w14:textId="304A3037" w:rsidR="008D0B57" w:rsidRPr="00D847DC" w:rsidRDefault="008D0B57" w:rsidP="008D0B57">
            <w:pPr>
              <w:tabs>
                <w:tab w:val="left" w:pos="567"/>
                <w:tab w:val="left" w:pos="1134"/>
              </w:tabs>
              <w:jc w:val="both"/>
              <w:rPr>
                <w:rFonts w:cs="Arial"/>
                <w:szCs w:val="24"/>
              </w:rPr>
            </w:pPr>
            <w:r w:rsidRPr="009C410F">
              <w:t>Digital Services</w:t>
            </w:r>
          </w:p>
        </w:tc>
        <w:tc>
          <w:tcPr>
            <w:tcW w:w="1508" w:type="dxa"/>
            <w:tcBorders>
              <w:right w:val="single" w:sz="12" w:space="0" w:color="auto"/>
            </w:tcBorders>
          </w:tcPr>
          <w:p w14:paraId="74925009" w14:textId="3F40AEE2" w:rsidR="008D0B57" w:rsidRPr="00D847DC" w:rsidRDefault="008D0B57" w:rsidP="008D0B57">
            <w:pPr>
              <w:tabs>
                <w:tab w:val="left" w:pos="567"/>
                <w:tab w:val="left" w:pos="1134"/>
              </w:tabs>
              <w:jc w:val="right"/>
              <w:rPr>
                <w:rFonts w:cs="Arial"/>
                <w:szCs w:val="24"/>
              </w:rPr>
            </w:pPr>
            <w:r>
              <w:rPr>
                <w:rFonts w:cs="Arial"/>
                <w:szCs w:val="24"/>
              </w:rPr>
              <w:t>0.173</w:t>
            </w:r>
          </w:p>
        </w:tc>
      </w:tr>
      <w:tr w:rsidR="008D0B57" w:rsidRPr="008B4A55" w14:paraId="7C6BE738" w14:textId="77777777" w:rsidTr="00776166">
        <w:tc>
          <w:tcPr>
            <w:tcW w:w="7488" w:type="dxa"/>
            <w:tcBorders>
              <w:left w:val="single" w:sz="12" w:space="0" w:color="auto"/>
            </w:tcBorders>
          </w:tcPr>
          <w:p w14:paraId="0E886F4C" w14:textId="0FC4B96F" w:rsidR="008D0B57" w:rsidRPr="00D847DC" w:rsidRDefault="008D0B57" w:rsidP="008D0B57">
            <w:pPr>
              <w:tabs>
                <w:tab w:val="left" w:pos="567"/>
                <w:tab w:val="left" w:pos="1134"/>
              </w:tabs>
              <w:jc w:val="both"/>
              <w:rPr>
                <w:rFonts w:cs="Arial"/>
                <w:szCs w:val="24"/>
              </w:rPr>
            </w:pPr>
            <w:r w:rsidRPr="009C410F">
              <w:t>Procurement</w:t>
            </w:r>
          </w:p>
        </w:tc>
        <w:tc>
          <w:tcPr>
            <w:tcW w:w="1508" w:type="dxa"/>
            <w:tcBorders>
              <w:right w:val="single" w:sz="12" w:space="0" w:color="auto"/>
            </w:tcBorders>
          </w:tcPr>
          <w:p w14:paraId="23227840" w14:textId="29563971" w:rsidR="008D0B57" w:rsidRPr="00D847DC" w:rsidRDefault="008D0B57" w:rsidP="008D0B57">
            <w:pPr>
              <w:tabs>
                <w:tab w:val="left" w:pos="567"/>
                <w:tab w:val="left" w:pos="1134"/>
              </w:tabs>
              <w:jc w:val="right"/>
              <w:rPr>
                <w:rFonts w:cs="Arial"/>
                <w:szCs w:val="24"/>
              </w:rPr>
            </w:pPr>
            <w:r>
              <w:rPr>
                <w:rFonts w:cs="Arial"/>
                <w:szCs w:val="24"/>
              </w:rPr>
              <w:t>0.120</w:t>
            </w:r>
          </w:p>
        </w:tc>
      </w:tr>
      <w:tr w:rsidR="00904E3B" w:rsidRPr="008B4A55" w14:paraId="099E2B25" w14:textId="77777777" w:rsidTr="00776166">
        <w:tc>
          <w:tcPr>
            <w:tcW w:w="7488" w:type="dxa"/>
            <w:tcBorders>
              <w:left w:val="single" w:sz="12" w:space="0" w:color="auto"/>
              <w:bottom w:val="single" w:sz="12" w:space="0" w:color="auto"/>
            </w:tcBorders>
          </w:tcPr>
          <w:p w14:paraId="47BE4552" w14:textId="77777777" w:rsidR="00640F8C" w:rsidRPr="00D847DC" w:rsidRDefault="00EE4778" w:rsidP="00640F8C">
            <w:pPr>
              <w:tabs>
                <w:tab w:val="left" w:pos="567"/>
                <w:tab w:val="left" w:pos="1134"/>
              </w:tabs>
              <w:jc w:val="both"/>
              <w:rPr>
                <w:rFonts w:cs="Arial"/>
                <w:b/>
                <w:szCs w:val="24"/>
              </w:rPr>
            </w:pPr>
            <w:r w:rsidRPr="00D847DC">
              <w:rPr>
                <w:rFonts w:cs="Arial"/>
                <w:b/>
                <w:szCs w:val="24"/>
              </w:rPr>
              <w:t>Grand Total</w:t>
            </w:r>
          </w:p>
        </w:tc>
        <w:tc>
          <w:tcPr>
            <w:tcW w:w="1508" w:type="dxa"/>
            <w:tcBorders>
              <w:bottom w:val="single" w:sz="12" w:space="0" w:color="auto"/>
              <w:right w:val="single" w:sz="12" w:space="0" w:color="auto"/>
            </w:tcBorders>
          </w:tcPr>
          <w:p w14:paraId="021C3240" w14:textId="4276CB1A" w:rsidR="00640F8C" w:rsidRPr="00D847DC" w:rsidRDefault="00D847DC" w:rsidP="00640F8C">
            <w:pPr>
              <w:tabs>
                <w:tab w:val="left" w:pos="567"/>
                <w:tab w:val="left" w:pos="1134"/>
              </w:tabs>
              <w:jc w:val="right"/>
              <w:rPr>
                <w:rFonts w:cs="Arial"/>
                <w:b/>
                <w:szCs w:val="24"/>
              </w:rPr>
            </w:pPr>
            <w:r>
              <w:rPr>
                <w:rFonts w:cs="Arial"/>
                <w:b/>
                <w:szCs w:val="24"/>
              </w:rPr>
              <w:t>5</w:t>
            </w:r>
            <w:r w:rsidR="00EE4778" w:rsidRPr="00D847DC">
              <w:rPr>
                <w:rFonts w:cs="Arial"/>
                <w:b/>
                <w:szCs w:val="24"/>
              </w:rPr>
              <w:t>.000</w:t>
            </w:r>
          </w:p>
        </w:tc>
      </w:tr>
    </w:tbl>
    <w:p w14:paraId="7196D064" w14:textId="77777777" w:rsidR="00640F8C" w:rsidRPr="008B4A55" w:rsidRDefault="00640F8C" w:rsidP="00640F8C">
      <w:pPr>
        <w:tabs>
          <w:tab w:val="left" w:pos="567"/>
          <w:tab w:val="left" w:pos="1134"/>
        </w:tabs>
        <w:spacing w:after="0"/>
        <w:jc w:val="both"/>
        <w:rPr>
          <w:rFonts w:cs="Arial"/>
          <w:szCs w:val="24"/>
          <w:highlight w:val="yellow"/>
        </w:rPr>
      </w:pPr>
    </w:p>
    <w:p w14:paraId="73711466" w14:textId="0391223C" w:rsidR="006D3951" w:rsidRDefault="006D3951" w:rsidP="009663C7">
      <w:pPr>
        <w:tabs>
          <w:tab w:val="left" w:pos="567"/>
          <w:tab w:val="left" w:pos="1134"/>
        </w:tabs>
        <w:spacing w:after="0"/>
        <w:jc w:val="both"/>
        <w:rPr>
          <w:rFonts w:cs="Arial"/>
          <w:szCs w:val="24"/>
        </w:rPr>
      </w:pPr>
      <w:r>
        <w:rPr>
          <w:rFonts w:cs="Arial"/>
          <w:szCs w:val="24"/>
        </w:rPr>
        <w:t xml:space="preserve">The table above does not cover all the costs of identified transformation </w:t>
      </w:r>
      <w:r w:rsidR="00990317">
        <w:rPr>
          <w:rFonts w:cs="Arial"/>
          <w:szCs w:val="24"/>
        </w:rPr>
        <w:t>activity but</w:t>
      </w:r>
      <w:r>
        <w:rPr>
          <w:rFonts w:cs="Arial"/>
          <w:szCs w:val="24"/>
        </w:rPr>
        <w:t xml:space="preserve"> </w:t>
      </w:r>
      <w:proofErr w:type="gramStart"/>
      <w:r>
        <w:rPr>
          <w:rFonts w:cs="Arial"/>
          <w:szCs w:val="24"/>
        </w:rPr>
        <w:t>makes a contribution</w:t>
      </w:r>
      <w:proofErr w:type="gramEnd"/>
      <w:r>
        <w:rPr>
          <w:rFonts w:cs="Arial"/>
          <w:szCs w:val="24"/>
        </w:rPr>
        <w:t xml:space="preserve"> to those costs. </w:t>
      </w:r>
    </w:p>
    <w:p w14:paraId="30028E48" w14:textId="77777777" w:rsidR="006D3951" w:rsidRDefault="006D3951" w:rsidP="009663C7">
      <w:pPr>
        <w:tabs>
          <w:tab w:val="left" w:pos="567"/>
          <w:tab w:val="left" w:pos="1134"/>
        </w:tabs>
        <w:spacing w:after="0"/>
        <w:jc w:val="both"/>
        <w:rPr>
          <w:rFonts w:cs="Arial"/>
          <w:szCs w:val="24"/>
        </w:rPr>
      </w:pPr>
    </w:p>
    <w:p w14:paraId="45DA1F87" w14:textId="149515AD" w:rsidR="009663C7" w:rsidRDefault="009663C7" w:rsidP="009663C7">
      <w:pPr>
        <w:tabs>
          <w:tab w:val="left" w:pos="567"/>
          <w:tab w:val="left" w:pos="1134"/>
        </w:tabs>
        <w:spacing w:after="0"/>
        <w:jc w:val="both"/>
        <w:rPr>
          <w:rFonts w:cs="Arial"/>
          <w:szCs w:val="24"/>
        </w:rPr>
      </w:pPr>
      <w:r w:rsidRPr="005C65FC">
        <w:rPr>
          <w:rFonts w:cs="Arial"/>
          <w:szCs w:val="24"/>
        </w:rPr>
        <w:t>These receipts would normally be applied to the capital programme and therefore the impact is to effectively increase the level of borrowing required to support the capital</w:t>
      </w:r>
      <w:r>
        <w:rPr>
          <w:rFonts w:cs="Arial"/>
          <w:szCs w:val="24"/>
        </w:rPr>
        <w:t xml:space="preserve"> </w:t>
      </w:r>
      <w:r w:rsidRPr="005C65FC">
        <w:rPr>
          <w:rFonts w:cs="Arial"/>
          <w:szCs w:val="24"/>
        </w:rPr>
        <w:t xml:space="preserve">programme. </w:t>
      </w:r>
      <w:r>
        <w:rPr>
          <w:rFonts w:cs="Arial"/>
          <w:szCs w:val="24"/>
        </w:rPr>
        <w:t xml:space="preserve"> The treasury management strategy and revenue budget </w:t>
      </w:r>
      <w:proofErr w:type="gramStart"/>
      <w:r>
        <w:rPr>
          <w:rFonts w:cs="Arial"/>
          <w:szCs w:val="24"/>
        </w:rPr>
        <w:t>reflects</w:t>
      </w:r>
      <w:proofErr w:type="gramEnd"/>
      <w:r>
        <w:rPr>
          <w:rFonts w:cs="Arial"/>
          <w:szCs w:val="24"/>
        </w:rPr>
        <w:t xml:space="preserve"> the level of additional borrowing required to deliver the capital programme. </w:t>
      </w:r>
    </w:p>
    <w:p w14:paraId="4BE94C67" w14:textId="432A3904" w:rsidR="009663C7" w:rsidRPr="005C65FC" w:rsidRDefault="009663C7" w:rsidP="009663C7">
      <w:pPr>
        <w:tabs>
          <w:tab w:val="left" w:pos="567"/>
          <w:tab w:val="left" w:pos="1134"/>
        </w:tabs>
        <w:spacing w:after="0"/>
        <w:jc w:val="both"/>
        <w:rPr>
          <w:rFonts w:cs="Arial"/>
          <w:szCs w:val="24"/>
        </w:rPr>
      </w:pPr>
      <w:r>
        <w:rPr>
          <w:rFonts w:cs="Arial"/>
          <w:szCs w:val="24"/>
        </w:rPr>
        <w:t xml:space="preserve"> </w:t>
      </w:r>
    </w:p>
    <w:p w14:paraId="6B8CACE9" w14:textId="6248B3B8" w:rsidR="009964EA" w:rsidRDefault="005A2610" w:rsidP="008C7EAA">
      <w:pPr>
        <w:tabs>
          <w:tab w:val="left" w:pos="567"/>
          <w:tab w:val="left" w:pos="1134"/>
        </w:tabs>
        <w:spacing w:after="0"/>
        <w:jc w:val="both"/>
        <w:rPr>
          <w:rFonts w:cs="Arial"/>
          <w:b/>
          <w:bCs/>
          <w:iCs/>
          <w:szCs w:val="24"/>
        </w:rPr>
      </w:pPr>
      <w:r>
        <w:rPr>
          <w:rFonts w:cs="Arial"/>
          <w:b/>
          <w:bCs/>
          <w:iCs/>
          <w:szCs w:val="24"/>
        </w:rPr>
        <w:t>4</w:t>
      </w:r>
      <w:r w:rsidR="00654BD8">
        <w:rPr>
          <w:rFonts w:cs="Arial"/>
          <w:b/>
          <w:bCs/>
          <w:iCs/>
          <w:szCs w:val="24"/>
        </w:rPr>
        <w:t>. Fees and Charges</w:t>
      </w:r>
    </w:p>
    <w:p w14:paraId="6E9FBE76" w14:textId="77777777" w:rsidR="008C7EAA" w:rsidRPr="008C7EAA" w:rsidRDefault="008C7EAA" w:rsidP="008C7EAA">
      <w:pPr>
        <w:spacing w:after="0" w:line="240" w:lineRule="auto"/>
        <w:jc w:val="both"/>
        <w:rPr>
          <w:rFonts w:cs="Arial"/>
          <w:szCs w:val="20"/>
          <w:lang w:eastAsia="en-GB"/>
        </w:rPr>
      </w:pPr>
    </w:p>
    <w:p w14:paraId="676B6396" w14:textId="77777777" w:rsidR="008C7EAA" w:rsidRPr="008C7EAA" w:rsidRDefault="008C7EAA" w:rsidP="008C7EAA">
      <w:pPr>
        <w:spacing w:after="0" w:line="240" w:lineRule="auto"/>
        <w:jc w:val="both"/>
        <w:rPr>
          <w:rFonts w:cs="Arial"/>
          <w:szCs w:val="20"/>
          <w:lang w:eastAsia="en-GB"/>
        </w:rPr>
      </w:pPr>
      <w:r w:rsidRPr="008C7EAA">
        <w:rPr>
          <w:rFonts w:cs="Arial"/>
          <w:szCs w:val="20"/>
          <w:lang w:eastAsia="en-GB"/>
        </w:rPr>
        <w:t xml:space="preserve">The updated schedule uses the Consumer Price Index as </w:t>
      </w:r>
      <w:proofErr w:type="gramStart"/>
      <w:r w:rsidRPr="008C7EAA">
        <w:rPr>
          <w:rFonts w:cs="Arial"/>
          <w:szCs w:val="20"/>
          <w:lang w:eastAsia="en-GB"/>
        </w:rPr>
        <w:t>at</w:t>
      </w:r>
      <w:proofErr w:type="gramEnd"/>
      <w:r w:rsidRPr="008C7EAA">
        <w:rPr>
          <w:rFonts w:cs="Arial"/>
          <w:szCs w:val="20"/>
          <w:lang w:eastAsia="en-GB"/>
        </w:rPr>
        <w:t xml:space="preserve"> September 2022 (10.1%) to increase fees and charges, being the value applied by Government for pensions and benefit payments. The Consumer Price Index in September will be the default inflationary factor when setting fees and charges increases in future years.  </w:t>
      </w:r>
    </w:p>
    <w:p w14:paraId="1DD8725F" w14:textId="77777777" w:rsidR="008C7EAA" w:rsidRPr="008C7EAA" w:rsidRDefault="008C7EAA" w:rsidP="008C7EAA">
      <w:pPr>
        <w:spacing w:after="0" w:line="240" w:lineRule="auto"/>
        <w:jc w:val="both"/>
        <w:rPr>
          <w:rFonts w:cs="Arial"/>
          <w:szCs w:val="20"/>
          <w:lang w:eastAsia="en-GB"/>
        </w:rPr>
      </w:pPr>
    </w:p>
    <w:p w14:paraId="13A86A2D" w14:textId="72B1B0EB" w:rsidR="008C7EAA" w:rsidRPr="008C7EAA" w:rsidRDefault="008C7EAA" w:rsidP="008C7EAA">
      <w:pPr>
        <w:spacing w:after="0" w:line="240" w:lineRule="auto"/>
        <w:jc w:val="both"/>
        <w:rPr>
          <w:rFonts w:cs="Arial"/>
          <w:szCs w:val="20"/>
          <w:lang w:eastAsia="en-GB"/>
        </w:rPr>
      </w:pPr>
      <w:r w:rsidRPr="008C7EAA">
        <w:rPr>
          <w:rFonts w:cs="Arial"/>
          <w:szCs w:val="20"/>
          <w:lang w:eastAsia="en-GB"/>
        </w:rPr>
        <w:t xml:space="preserve">There are some minor exceptions within the schedule where charges are set nationally, or other market factors have been considered. </w:t>
      </w:r>
    </w:p>
    <w:p w14:paraId="3EFDF4A6" w14:textId="77777777" w:rsidR="008C7EAA" w:rsidRPr="008C7EAA" w:rsidRDefault="008C7EAA" w:rsidP="008C7EAA">
      <w:pPr>
        <w:spacing w:after="0" w:line="240" w:lineRule="auto"/>
        <w:jc w:val="both"/>
        <w:rPr>
          <w:rFonts w:cs="Arial"/>
          <w:szCs w:val="20"/>
          <w:lang w:eastAsia="en-GB"/>
        </w:rPr>
      </w:pPr>
    </w:p>
    <w:p w14:paraId="2F9F55E7" w14:textId="77777777" w:rsidR="008C7EAA" w:rsidRPr="008C7EAA" w:rsidRDefault="008C7EAA" w:rsidP="008C7EAA">
      <w:pPr>
        <w:spacing w:after="0" w:line="240" w:lineRule="auto"/>
        <w:jc w:val="both"/>
        <w:rPr>
          <w:rFonts w:cs="Arial"/>
          <w:szCs w:val="20"/>
          <w:lang w:eastAsia="en-GB"/>
        </w:rPr>
      </w:pPr>
      <w:r w:rsidRPr="008C7EAA">
        <w:rPr>
          <w:rFonts w:cs="Arial"/>
          <w:szCs w:val="20"/>
          <w:lang w:eastAsia="en-GB"/>
        </w:rPr>
        <w:t xml:space="preserve"> Full Council is also asked to approve and note the additional points below:</w:t>
      </w:r>
    </w:p>
    <w:p w14:paraId="0EAF5158" w14:textId="77777777" w:rsidR="008C7EAA" w:rsidRPr="008C7EAA" w:rsidRDefault="008C7EAA" w:rsidP="008C7EAA">
      <w:pPr>
        <w:spacing w:after="0" w:line="240" w:lineRule="auto"/>
        <w:jc w:val="both"/>
        <w:rPr>
          <w:rFonts w:cs="Arial"/>
          <w:szCs w:val="20"/>
          <w:lang w:eastAsia="en-GB"/>
        </w:rPr>
      </w:pPr>
    </w:p>
    <w:p w14:paraId="76D048F3" w14:textId="77777777" w:rsidR="008C7EAA" w:rsidRPr="008C7EAA" w:rsidRDefault="008C7EAA" w:rsidP="008C7EAA">
      <w:pPr>
        <w:pStyle w:val="ListParagraph"/>
        <w:numPr>
          <w:ilvl w:val="0"/>
          <w:numId w:val="33"/>
        </w:numPr>
        <w:spacing w:after="0" w:line="240" w:lineRule="auto"/>
        <w:jc w:val="both"/>
        <w:rPr>
          <w:rFonts w:cs="Arial"/>
          <w:szCs w:val="20"/>
          <w:lang w:eastAsia="en-GB"/>
        </w:rPr>
      </w:pPr>
      <w:r w:rsidRPr="008C7EAA">
        <w:rPr>
          <w:rFonts w:cs="Arial"/>
          <w:szCs w:val="20"/>
          <w:lang w:eastAsia="en-GB"/>
        </w:rPr>
        <w:t>An exemption will be included for library members who are refugees, asylum seekers or any individuals who arrived in Lancashire through a coordinated resettlement scheme due to forced migration from paying reservation charges for borrowing library materials.</w:t>
      </w:r>
    </w:p>
    <w:p w14:paraId="2F8B8405" w14:textId="77777777" w:rsidR="008C7EAA" w:rsidRPr="008C7EAA" w:rsidRDefault="008C7EAA" w:rsidP="008C7EAA">
      <w:pPr>
        <w:spacing w:after="0" w:line="240" w:lineRule="auto"/>
        <w:jc w:val="both"/>
        <w:rPr>
          <w:rFonts w:cs="Arial"/>
          <w:szCs w:val="20"/>
          <w:lang w:eastAsia="en-GB"/>
        </w:rPr>
      </w:pPr>
    </w:p>
    <w:p w14:paraId="16548378" w14:textId="25DD1598" w:rsidR="008C7EAA" w:rsidRPr="008C7EAA" w:rsidRDefault="008C7EAA" w:rsidP="008C7EAA">
      <w:pPr>
        <w:pStyle w:val="ListParagraph"/>
        <w:numPr>
          <w:ilvl w:val="0"/>
          <w:numId w:val="33"/>
        </w:numPr>
        <w:spacing w:after="0" w:line="240" w:lineRule="auto"/>
        <w:jc w:val="both"/>
        <w:rPr>
          <w:rFonts w:cs="Arial"/>
          <w:szCs w:val="20"/>
          <w:lang w:eastAsia="en-GB"/>
        </w:rPr>
      </w:pPr>
      <w:r w:rsidRPr="008C7EAA">
        <w:rPr>
          <w:rFonts w:cs="Arial"/>
          <w:szCs w:val="20"/>
          <w:lang w:eastAsia="en-GB"/>
        </w:rPr>
        <w:lastRenderedPageBreak/>
        <w:t>A full review of the admissions policy for museums will be undertaken in 2023 and a new policy presented for consideration to the Cabinet Working Group on Museums.</w:t>
      </w:r>
    </w:p>
    <w:p w14:paraId="2D922330" w14:textId="77777777" w:rsidR="008C7EAA" w:rsidRPr="008C7EAA" w:rsidRDefault="008C7EAA" w:rsidP="008C7EAA">
      <w:pPr>
        <w:spacing w:after="0" w:line="240" w:lineRule="auto"/>
        <w:jc w:val="both"/>
        <w:rPr>
          <w:rFonts w:cs="Arial"/>
          <w:szCs w:val="20"/>
          <w:lang w:eastAsia="en-GB"/>
        </w:rPr>
      </w:pPr>
    </w:p>
    <w:p w14:paraId="7D87DEE2" w14:textId="624416C1" w:rsidR="00654BD8" w:rsidRDefault="005A2610" w:rsidP="00EB06AD">
      <w:pPr>
        <w:tabs>
          <w:tab w:val="left" w:pos="567"/>
          <w:tab w:val="left" w:pos="1134"/>
        </w:tabs>
        <w:spacing w:after="0"/>
        <w:jc w:val="both"/>
        <w:rPr>
          <w:rFonts w:cs="Arial"/>
          <w:b/>
          <w:bCs/>
          <w:iCs/>
          <w:szCs w:val="24"/>
        </w:rPr>
      </w:pPr>
      <w:r>
        <w:rPr>
          <w:rFonts w:cs="Arial"/>
          <w:b/>
          <w:bCs/>
          <w:iCs/>
          <w:szCs w:val="24"/>
        </w:rPr>
        <w:t>5</w:t>
      </w:r>
      <w:r w:rsidR="00042FB7">
        <w:rPr>
          <w:rFonts w:cs="Arial"/>
          <w:b/>
          <w:bCs/>
          <w:iCs/>
          <w:szCs w:val="24"/>
        </w:rPr>
        <w:t>. Savings</w:t>
      </w:r>
    </w:p>
    <w:p w14:paraId="3ADDCB43" w14:textId="69CB9816" w:rsidR="00114896" w:rsidRDefault="00114896" w:rsidP="00EB06AD">
      <w:pPr>
        <w:tabs>
          <w:tab w:val="left" w:pos="567"/>
          <w:tab w:val="left" w:pos="1134"/>
        </w:tabs>
        <w:spacing w:after="0"/>
        <w:jc w:val="both"/>
        <w:rPr>
          <w:rFonts w:cs="Arial"/>
          <w:b/>
          <w:bCs/>
          <w:iCs/>
          <w:szCs w:val="24"/>
        </w:rPr>
      </w:pPr>
    </w:p>
    <w:p w14:paraId="0C1DCA08" w14:textId="4B718AB7" w:rsidR="00375959" w:rsidRDefault="001C0B04" w:rsidP="00114896">
      <w:pPr>
        <w:spacing w:after="0" w:line="240" w:lineRule="auto"/>
        <w:jc w:val="both"/>
        <w:rPr>
          <w:rFonts w:cs="Arial"/>
          <w:szCs w:val="20"/>
          <w:lang w:eastAsia="en-GB"/>
        </w:rPr>
      </w:pPr>
      <w:r w:rsidRPr="001C0B04">
        <w:rPr>
          <w:rFonts w:cs="Arial"/>
          <w:szCs w:val="20"/>
          <w:lang w:eastAsia="en-GB"/>
        </w:rPr>
        <w:t>The 2023/24 budget contains a proposed programme of savings totalling c£75m. This includes the 2023/24 elements of the £118m of savings agreed at Cabinet on 3 November 2022.</w:t>
      </w:r>
    </w:p>
    <w:p w14:paraId="5DE37BB9" w14:textId="77777777" w:rsidR="001C0B04" w:rsidRDefault="001C0B04" w:rsidP="00114896">
      <w:pPr>
        <w:spacing w:after="0" w:line="240" w:lineRule="auto"/>
        <w:jc w:val="both"/>
        <w:rPr>
          <w:rFonts w:cs="Arial"/>
          <w:szCs w:val="20"/>
          <w:lang w:eastAsia="en-GB"/>
        </w:rPr>
      </w:pPr>
    </w:p>
    <w:p w14:paraId="349882E2" w14:textId="4CC6C2BA" w:rsidR="00375959" w:rsidRDefault="00375959" w:rsidP="00114896">
      <w:pPr>
        <w:spacing w:after="0" w:line="240" w:lineRule="auto"/>
        <w:jc w:val="both"/>
        <w:rPr>
          <w:rFonts w:cs="Arial"/>
          <w:szCs w:val="20"/>
          <w:lang w:eastAsia="en-GB"/>
        </w:rPr>
      </w:pPr>
      <w:r>
        <w:rPr>
          <w:rFonts w:cs="Arial"/>
          <w:szCs w:val="20"/>
          <w:lang w:eastAsia="en-GB"/>
        </w:rPr>
        <w:t>The savings agreed by Cabinet can be found on the link below (Item 5):</w:t>
      </w:r>
    </w:p>
    <w:p w14:paraId="3FF85DA1" w14:textId="362CC13B" w:rsidR="00375959" w:rsidRDefault="00375959" w:rsidP="00114896">
      <w:pPr>
        <w:spacing w:after="0" w:line="240" w:lineRule="auto"/>
        <w:jc w:val="both"/>
        <w:rPr>
          <w:rFonts w:cs="Arial"/>
          <w:szCs w:val="20"/>
          <w:lang w:eastAsia="en-GB"/>
        </w:rPr>
      </w:pPr>
    </w:p>
    <w:p w14:paraId="42968086" w14:textId="5E535DD3" w:rsidR="00114896" w:rsidRDefault="009B0408" w:rsidP="00EB06AD">
      <w:pPr>
        <w:tabs>
          <w:tab w:val="left" w:pos="567"/>
          <w:tab w:val="left" w:pos="1134"/>
        </w:tabs>
        <w:spacing w:after="0"/>
        <w:jc w:val="both"/>
      </w:pPr>
      <w:hyperlink r:id="rId12" w:history="1">
        <w:r w:rsidR="00375959">
          <w:rPr>
            <w:rStyle w:val="Hyperlink"/>
          </w:rPr>
          <w:t xml:space="preserve">Our Council - Agenda for Cabinet on Thursday, 3rd </w:t>
        </w:r>
        <w:proofErr w:type="gramStart"/>
        <w:r w:rsidR="00375959">
          <w:rPr>
            <w:rStyle w:val="Hyperlink"/>
          </w:rPr>
          <w:t>November,</w:t>
        </w:r>
        <w:proofErr w:type="gramEnd"/>
        <w:r w:rsidR="00375959">
          <w:rPr>
            <w:rStyle w:val="Hyperlink"/>
          </w:rPr>
          <w:t xml:space="preserve"> 2022, 2.00 pm</w:t>
        </w:r>
      </w:hyperlink>
    </w:p>
    <w:p w14:paraId="08F1E3EF" w14:textId="77777777" w:rsidR="00375959" w:rsidRDefault="00375959" w:rsidP="00EB06AD">
      <w:pPr>
        <w:tabs>
          <w:tab w:val="left" w:pos="567"/>
          <w:tab w:val="left" w:pos="1134"/>
        </w:tabs>
        <w:spacing w:after="0"/>
        <w:jc w:val="both"/>
        <w:rPr>
          <w:rFonts w:cs="Arial"/>
          <w:b/>
          <w:bCs/>
          <w:iCs/>
          <w:szCs w:val="24"/>
        </w:rPr>
      </w:pPr>
    </w:p>
    <w:p w14:paraId="24ADA557" w14:textId="3A8BB40C" w:rsidR="0007247C" w:rsidRDefault="00114896" w:rsidP="00EB06AD">
      <w:pPr>
        <w:tabs>
          <w:tab w:val="left" w:pos="567"/>
          <w:tab w:val="left" w:pos="1134"/>
        </w:tabs>
        <w:spacing w:after="0"/>
        <w:jc w:val="both"/>
        <w:rPr>
          <w:rFonts w:cs="Arial"/>
          <w:iCs/>
          <w:szCs w:val="24"/>
        </w:rPr>
      </w:pPr>
      <w:r w:rsidRPr="00114896">
        <w:rPr>
          <w:rFonts w:cs="Arial"/>
          <w:iCs/>
          <w:szCs w:val="24"/>
        </w:rPr>
        <w:t xml:space="preserve">The budget for 2023/24 and forecast over </w:t>
      </w:r>
      <w:r w:rsidR="00FA40FD">
        <w:rPr>
          <w:rFonts w:cs="Arial"/>
          <w:iCs/>
          <w:szCs w:val="24"/>
        </w:rPr>
        <w:t xml:space="preserve">a </w:t>
      </w:r>
      <w:r w:rsidRPr="00114896">
        <w:rPr>
          <w:rFonts w:cs="Arial"/>
          <w:iCs/>
          <w:szCs w:val="24"/>
        </w:rPr>
        <w:t xml:space="preserve">further 3 years </w:t>
      </w:r>
      <w:r w:rsidR="00FA40FD">
        <w:rPr>
          <w:rFonts w:cs="Arial"/>
          <w:iCs/>
          <w:szCs w:val="24"/>
        </w:rPr>
        <w:t>in</w:t>
      </w:r>
      <w:r w:rsidRPr="00114896">
        <w:rPr>
          <w:rFonts w:cs="Arial"/>
          <w:iCs/>
          <w:szCs w:val="24"/>
        </w:rPr>
        <w:t xml:space="preserve"> the </w:t>
      </w:r>
      <w:proofErr w:type="gramStart"/>
      <w:r w:rsidRPr="00114896">
        <w:rPr>
          <w:rFonts w:cs="Arial"/>
          <w:iCs/>
          <w:szCs w:val="24"/>
        </w:rPr>
        <w:t>medium term</w:t>
      </w:r>
      <w:proofErr w:type="gramEnd"/>
      <w:r w:rsidRPr="00114896">
        <w:rPr>
          <w:rFonts w:cs="Arial"/>
          <w:iCs/>
          <w:szCs w:val="24"/>
        </w:rPr>
        <w:t xml:space="preserve"> financial strategy assume all savings are delivered within their agreed timeframes. </w:t>
      </w:r>
      <w:r w:rsidR="009D12E6">
        <w:rPr>
          <w:rFonts w:cs="Arial"/>
          <w:iCs/>
          <w:szCs w:val="24"/>
        </w:rPr>
        <w:t>Savings deliver</w:t>
      </w:r>
      <w:r w:rsidR="00D33BE7">
        <w:rPr>
          <w:rFonts w:cs="Arial"/>
          <w:iCs/>
          <w:szCs w:val="24"/>
        </w:rPr>
        <w:t>y</w:t>
      </w:r>
      <w:r w:rsidR="009D12E6">
        <w:rPr>
          <w:rFonts w:cs="Arial"/>
          <w:iCs/>
          <w:szCs w:val="24"/>
        </w:rPr>
        <w:t xml:space="preserve"> is closely monitored across Directorates as part of the budget monitoring process. </w:t>
      </w:r>
    </w:p>
    <w:p w14:paraId="079398BE" w14:textId="77777777" w:rsidR="005A2610" w:rsidRDefault="005A2610" w:rsidP="00EB06AD">
      <w:pPr>
        <w:tabs>
          <w:tab w:val="left" w:pos="567"/>
          <w:tab w:val="left" w:pos="1134"/>
        </w:tabs>
        <w:spacing w:after="0"/>
        <w:jc w:val="both"/>
        <w:rPr>
          <w:rFonts w:cs="Arial"/>
          <w:iCs/>
          <w:szCs w:val="24"/>
        </w:rPr>
      </w:pPr>
    </w:p>
    <w:p w14:paraId="28C6DB5B" w14:textId="5B03897B" w:rsidR="009D12E6" w:rsidRPr="009D12E6" w:rsidRDefault="00490DCC" w:rsidP="00EB06AD">
      <w:pPr>
        <w:tabs>
          <w:tab w:val="left" w:pos="567"/>
          <w:tab w:val="left" w:pos="1134"/>
        </w:tabs>
        <w:spacing w:after="0"/>
        <w:jc w:val="both"/>
        <w:rPr>
          <w:rFonts w:cs="Arial"/>
          <w:i/>
          <w:szCs w:val="24"/>
        </w:rPr>
      </w:pPr>
      <w:r>
        <w:rPr>
          <w:rFonts w:cs="Arial"/>
          <w:i/>
          <w:szCs w:val="24"/>
        </w:rPr>
        <w:t>5</w:t>
      </w:r>
      <w:r w:rsidR="009D12E6" w:rsidRPr="009D12E6">
        <w:rPr>
          <w:rFonts w:cs="Arial"/>
          <w:i/>
          <w:szCs w:val="24"/>
        </w:rPr>
        <w:t>.1 Strategic Targets</w:t>
      </w:r>
    </w:p>
    <w:p w14:paraId="04238F6F" w14:textId="528663C5" w:rsidR="006C1693" w:rsidRDefault="006C1693" w:rsidP="00EB06AD">
      <w:pPr>
        <w:tabs>
          <w:tab w:val="left" w:pos="567"/>
          <w:tab w:val="left" w:pos="1134"/>
        </w:tabs>
        <w:spacing w:after="0"/>
        <w:jc w:val="both"/>
        <w:rPr>
          <w:rFonts w:cs="Arial"/>
          <w:b/>
          <w:bCs/>
          <w:iCs/>
          <w:szCs w:val="24"/>
        </w:rPr>
      </w:pPr>
    </w:p>
    <w:p w14:paraId="18FD5E0E" w14:textId="613E4D47" w:rsidR="001E11AE" w:rsidRDefault="001E11AE" w:rsidP="001E11AE">
      <w:pPr>
        <w:tabs>
          <w:tab w:val="left" w:pos="567"/>
          <w:tab w:val="left" w:pos="1134"/>
        </w:tabs>
        <w:spacing w:after="0"/>
        <w:jc w:val="both"/>
        <w:rPr>
          <w:rFonts w:cs="Arial"/>
          <w:iCs/>
          <w:szCs w:val="24"/>
        </w:rPr>
      </w:pPr>
      <w:r w:rsidRPr="001E11AE">
        <w:rPr>
          <w:rFonts w:cs="Arial"/>
          <w:iCs/>
          <w:szCs w:val="24"/>
        </w:rPr>
        <w:t xml:space="preserve">The Council has set </w:t>
      </w:r>
      <w:proofErr w:type="gramStart"/>
      <w:r w:rsidRPr="001E11AE">
        <w:rPr>
          <w:rFonts w:cs="Arial"/>
          <w:iCs/>
          <w:szCs w:val="24"/>
        </w:rPr>
        <w:t>a number of</w:t>
      </w:r>
      <w:proofErr w:type="gramEnd"/>
      <w:r w:rsidRPr="001E11AE">
        <w:rPr>
          <w:rFonts w:cs="Arial"/>
          <w:iCs/>
          <w:szCs w:val="24"/>
        </w:rPr>
        <w:t xml:space="preserve"> strategic targets that aim to deliver savings of £32m over the four-year period with £9m in </w:t>
      </w:r>
      <w:r w:rsidR="0018543D">
        <w:rPr>
          <w:rFonts w:cs="Arial"/>
          <w:iCs/>
          <w:szCs w:val="24"/>
        </w:rPr>
        <w:t>20</w:t>
      </w:r>
      <w:r w:rsidRPr="001E11AE">
        <w:rPr>
          <w:rFonts w:cs="Arial"/>
          <w:iCs/>
          <w:szCs w:val="24"/>
        </w:rPr>
        <w:t>23/24.</w:t>
      </w:r>
      <w:r>
        <w:rPr>
          <w:rFonts w:cs="Arial"/>
          <w:iCs/>
          <w:szCs w:val="24"/>
        </w:rPr>
        <w:t xml:space="preserve"> </w:t>
      </w:r>
      <w:r w:rsidRPr="001E11AE">
        <w:rPr>
          <w:rFonts w:cs="Arial"/>
          <w:iCs/>
          <w:szCs w:val="24"/>
        </w:rPr>
        <w:t xml:space="preserve">To deliver these </w:t>
      </w:r>
      <w:proofErr w:type="gramStart"/>
      <w:r w:rsidRPr="001E11AE">
        <w:rPr>
          <w:rFonts w:cs="Arial"/>
          <w:iCs/>
          <w:szCs w:val="24"/>
        </w:rPr>
        <w:t>a number of</w:t>
      </w:r>
      <w:proofErr w:type="gramEnd"/>
      <w:r w:rsidRPr="001E11AE">
        <w:rPr>
          <w:rFonts w:cs="Arial"/>
          <w:iCs/>
          <w:szCs w:val="24"/>
        </w:rPr>
        <w:t xml:space="preserve"> areas are being reviewed.</w:t>
      </w:r>
      <w:r w:rsidR="0007247C">
        <w:rPr>
          <w:rFonts w:cs="Arial"/>
          <w:iCs/>
          <w:szCs w:val="24"/>
        </w:rPr>
        <w:t xml:space="preserve"> Table </w:t>
      </w:r>
      <w:r w:rsidR="00490DCC">
        <w:rPr>
          <w:rFonts w:cs="Arial"/>
          <w:iCs/>
          <w:szCs w:val="24"/>
        </w:rPr>
        <w:t>7</w:t>
      </w:r>
      <w:r w:rsidR="0007247C">
        <w:rPr>
          <w:rFonts w:cs="Arial"/>
          <w:iCs/>
          <w:szCs w:val="24"/>
        </w:rPr>
        <w:t xml:space="preserve"> shows the agreed values and profile of the savings agreed. </w:t>
      </w:r>
    </w:p>
    <w:p w14:paraId="5E5E39CD" w14:textId="34ACC7C8" w:rsidR="0007247C" w:rsidRDefault="0007247C" w:rsidP="001E11AE">
      <w:pPr>
        <w:tabs>
          <w:tab w:val="left" w:pos="567"/>
          <w:tab w:val="left" w:pos="1134"/>
        </w:tabs>
        <w:spacing w:after="0"/>
        <w:jc w:val="both"/>
        <w:rPr>
          <w:rFonts w:cs="Arial"/>
          <w:iCs/>
          <w:szCs w:val="24"/>
        </w:rPr>
      </w:pPr>
    </w:p>
    <w:p w14:paraId="637920F1" w14:textId="30F1C426" w:rsidR="0007247C" w:rsidRDefault="0007247C" w:rsidP="001E11AE">
      <w:pPr>
        <w:tabs>
          <w:tab w:val="left" w:pos="567"/>
          <w:tab w:val="left" w:pos="1134"/>
        </w:tabs>
        <w:spacing w:after="0"/>
        <w:jc w:val="both"/>
        <w:rPr>
          <w:rFonts w:cs="Arial"/>
          <w:b/>
          <w:bCs/>
          <w:i/>
          <w:szCs w:val="24"/>
          <w:u w:val="single"/>
        </w:rPr>
      </w:pPr>
      <w:r w:rsidRPr="0007247C">
        <w:rPr>
          <w:rFonts w:cs="Arial"/>
          <w:b/>
          <w:bCs/>
          <w:i/>
          <w:szCs w:val="24"/>
          <w:u w:val="single"/>
        </w:rPr>
        <w:t>Table 7</w:t>
      </w:r>
    </w:p>
    <w:p w14:paraId="45FEA15F" w14:textId="704B3950" w:rsidR="0007247C" w:rsidRDefault="0007247C" w:rsidP="001E11AE">
      <w:pPr>
        <w:tabs>
          <w:tab w:val="left" w:pos="567"/>
          <w:tab w:val="left" w:pos="1134"/>
        </w:tabs>
        <w:spacing w:after="0"/>
        <w:jc w:val="both"/>
        <w:rPr>
          <w:rFonts w:cs="Arial"/>
          <w:b/>
          <w:bCs/>
          <w:i/>
          <w:szCs w:val="24"/>
          <w:u w:val="single"/>
        </w:rPr>
      </w:pPr>
    </w:p>
    <w:tbl>
      <w:tblPr>
        <w:tblW w:w="8921" w:type="dxa"/>
        <w:tblInd w:w="118" w:type="dxa"/>
        <w:tblLook w:val="04A0" w:firstRow="1" w:lastRow="0" w:firstColumn="1" w:lastColumn="0" w:noHBand="0" w:noVBand="1"/>
      </w:tblPr>
      <w:tblGrid>
        <w:gridCol w:w="3818"/>
        <w:gridCol w:w="1275"/>
        <w:gridCol w:w="1276"/>
        <w:gridCol w:w="1276"/>
        <w:gridCol w:w="1276"/>
      </w:tblGrid>
      <w:tr w:rsidR="0007247C" w:rsidRPr="0007247C" w14:paraId="1C184754" w14:textId="77777777">
        <w:trPr>
          <w:trHeight w:val="601"/>
        </w:trPr>
        <w:tc>
          <w:tcPr>
            <w:tcW w:w="3818" w:type="dxa"/>
            <w:tcBorders>
              <w:top w:val="single" w:sz="8" w:space="0" w:color="auto"/>
              <w:left w:val="single" w:sz="8" w:space="0" w:color="auto"/>
              <w:bottom w:val="nil"/>
              <w:right w:val="single" w:sz="8" w:space="0" w:color="auto"/>
            </w:tcBorders>
            <w:shd w:val="clear" w:color="000000" w:fill="BFBFBF"/>
            <w:hideMark/>
          </w:tcPr>
          <w:p w14:paraId="2A8E402C" w14:textId="77777777" w:rsidR="0007247C" w:rsidRPr="0007247C" w:rsidRDefault="0007247C" w:rsidP="0007247C">
            <w:pPr>
              <w:spacing w:after="0" w:line="240" w:lineRule="auto"/>
              <w:rPr>
                <w:rFonts w:cs="Arial"/>
                <w:color w:val="000000"/>
                <w:szCs w:val="24"/>
                <w:lang w:eastAsia="en-GB"/>
              </w:rPr>
            </w:pPr>
            <w:r w:rsidRPr="0007247C">
              <w:rPr>
                <w:rFonts w:cs="Arial"/>
                <w:color w:val="000000"/>
                <w:szCs w:val="24"/>
                <w:lang w:eastAsia="en-GB"/>
              </w:rPr>
              <w:t> </w:t>
            </w:r>
          </w:p>
        </w:tc>
        <w:tc>
          <w:tcPr>
            <w:tcW w:w="1275" w:type="dxa"/>
            <w:tcBorders>
              <w:top w:val="single" w:sz="8" w:space="0" w:color="auto"/>
              <w:left w:val="nil"/>
              <w:bottom w:val="nil"/>
              <w:right w:val="single" w:sz="8" w:space="0" w:color="auto"/>
            </w:tcBorders>
            <w:shd w:val="clear" w:color="000000" w:fill="BFBFBF"/>
            <w:vAlign w:val="center"/>
            <w:hideMark/>
          </w:tcPr>
          <w:p w14:paraId="2E40A709"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2023/24</w:t>
            </w:r>
          </w:p>
        </w:tc>
        <w:tc>
          <w:tcPr>
            <w:tcW w:w="1276" w:type="dxa"/>
            <w:tcBorders>
              <w:top w:val="single" w:sz="8" w:space="0" w:color="auto"/>
              <w:left w:val="nil"/>
              <w:bottom w:val="nil"/>
              <w:right w:val="single" w:sz="8" w:space="0" w:color="auto"/>
            </w:tcBorders>
            <w:shd w:val="clear" w:color="000000" w:fill="BFBFBF"/>
            <w:vAlign w:val="center"/>
            <w:hideMark/>
          </w:tcPr>
          <w:p w14:paraId="0154CFF4"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2024/25</w:t>
            </w:r>
          </w:p>
        </w:tc>
        <w:tc>
          <w:tcPr>
            <w:tcW w:w="1276" w:type="dxa"/>
            <w:tcBorders>
              <w:top w:val="single" w:sz="8" w:space="0" w:color="auto"/>
              <w:left w:val="nil"/>
              <w:bottom w:val="nil"/>
              <w:right w:val="single" w:sz="8" w:space="0" w:color="auto"/>
            </w:tcBorders>
            <w:shd w:val="clear" w:color="000000" w:fill="BFBFBF"/>
            <w:vAlign w:val="center"/>
            <w:hideMark/>
          </w:tcPr>
          <w:p w14:paraId="2DBA624A"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2025/26</w:t>
            </w:r>
          </w:p>
        </w:tc>
        <w:tc>
          <w:tcPr>
            <w:tcW w:w="1276" w:type="dxa"/>
            <w:tcBorders>
              <w:top w:val="single" w:sz="8" w:space="0" w:color="auto"/>
              <w:left w:val="nil"/>
              <w:bottom w:val="nil"/>
              <w:right w:val="single" w:sz="8" w:space="0" w:color="auto"/>
            </w:tcBorders>
            <w:shd w:val="clear" w:color="000000" w:fill="BFBFBF"/>
            <w:vAlign w:val="center"/>
            <w:hideMark/>
          </w:tcPr>
          <w:p w14:paraId="62596F86"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2026/27</w:t>
            </w:r>
          </w:p>
        </w:tc>
      </w:tr>
      <w:tr w:rsidR="0007247C" w:rsidRPr="0007247C" w14:paraId="0C81CBAA" w14:textId="77777777">
        <w:trPr>
          <w:trHeight w:val="315"/>
        </w:trPr>
        <w:tc>
          <w:tcPr>
            <w:tcW w:w="3818" w:type="dxa"/>
            <w:tcBorders>
              <w:top w:val="nil"/>
              <w:left w:val="single" w:sz="8" w:space="0" w:color="auto"/>
              <w:bottom w:val="single" w:sz="8" w:space="0" w:color="auto"/>
              <w:right w:val="single" w:sz="8" w:space="0" w:color="auto"/>
            </w:tcBorders>
            <w:shd w:val="clear" w:color="000000" w:fill="BFBFBF"/>
            <w:hideMark/>
          </w:tcPr>
          <w:p w14:paraId="6A752300" w14:textId="77777777" w:rsidR="0007247C" w:rsidRPr="0007247C" w:rsidRDefault="0007247C" w:rsidP="0007247C">
            <w:pPr>
              <w:spacing w:after="0" w:line="240" w:lineRule="auto"/>
              <w:rPr>
                <w:rFonts w:cs="Arial"/>
                <w:color w:val="000000"/>
                <w:szCs w:val="24"/>
                <w:lang w:eastAsia="en-GB"/>
              </w:rPr>
            </w:pPr>
            <w:r w:rsidRPr="0007247C">
              <w:rPr>
                <w:rFonts w:cs="Arial"/>
                <w:color w:val="000000"/>
                <w:szCs w:val="24"/>
                <w:lang w:eastAsia="en-GB"/>
              </w:rPr>
              <w:t> </w:t>
            </w:r>
          </w:p>
        </w:tc>
        <w:tc>
          <w:tcPr>
            <w:tcW w:w="1275" w:type="dxa"/>
            <w:tcBorders>
              <w:top w:val="nil"/>
              <w:left w:val="nil"/>
              <w:bottom w:val="single" w:sz="8" w:space="0" w:color="auto"/>
              <w:right w:val="single" w:sz="8" w:space="0" w:color="auto"/>
            </w:tcBorders>
            <w:shd w:val="clear" w:color="000000" w:fill="BFBFBF"/>
            <w:vAlign w:val="center"/>
            <w:hideMark/>
          </w:tcPr>
          <w:p w14:paraId="2ACCADC3"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0932E7DC"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00F5AA7C"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14:paraId="6B99F611" w14:textId="77777777" w:rsidR="0007247C" w:rsidRPr="0007247C" w:rsidRDefault="0007247C" w:rsidP="0007247C">
            <w:pPr>
              <w:spacing w:after="0" w:line="240" w:lineRule="auto"/>
              <w:jc w:val="center"/>
              <w:rPr>
                <w:rFonts w:cs="Arial"/>
                <w:b/>
                <w:bCs/>
                <w:color w:val="000000"/>
                <w:szCs w:val="24"/>
                <w:lang w:eastAsia="en-GB"/>
              </w:rPr>
            </w:pPr>
            <w:r w:rsidRPr="0007247C">
              <w:rPr>
                <w:rFonts w:cs="Arial"/>
                <w:b/>
                <w:bCs/>
                <w:color w:val="000000"/>
                <w:szCs w:val="24"/>
                <w:lang w:eastAsia="en-GB"/>
              </w:rPr>
              <w:t>£m</w:t>
            </w:r>
          </w:p>
        </w:tc>
      </w:tr>
      <w:tr w:rsidR="0007247C" w:rsidRPr="0007247C" w14:paraId="3E5C69D7" w14:textId="77777777">
        <w:trPr>
          <w:trHeight w:val="328"/>
        </w:trPr>
        <w:tc>
          <w:tcPr>
            <w:tcW w:w="3818" w:type="dxa"/>
            <w:tcBorders>
              <w:top w:val="nil"/>
              <w:left w:val="single" w:sz="8" w:space="0" w:color="auto"/>
              <w:bottom w:val="single" w:sz="8" w:space="0" w:color="auto"/>
              <w:right w:val="single" w:sz="8" w:space="0" w:color="auto"/>
            </w:tcBorders>
            <w:shd w:val="clear" w:color="auto" w:fill="auto"/>
            <w:hideMark/>
          </w:tcPr>
          <w:p w14:paraId="7FE1BBD4" w14:textId="77777777" w:rsidR="0007247C" w:rsidRPr="0007247C" w:rsidRDefault="0007247C" w:rsidP="0007247C">
            <w:pPr>
              <w:spacing w:after="0" w:line="240" w:lineRule="auto"/>
              <w:rPr>
                <w:rFonts w:cs="Arial"/>
                <w:color w:val="000000"/>
                <w:szCs w:val="24"/>
                <w:lang w:eastAsia="en-GB"/>
              </w:rPr>
            </w:pPr>
            <w:r w:rsidRPr="0007247C">
              <w:rPr>
                <w:rFonts w:cs="Arial"/>
                <w:color w:val="000000"/>
                <w:szCs w:val="24"/>
                <w:lang w:eastAsia="en-GB"/>
              </w:rPr>
              <w:t>Contracts </w:t>
            </w:r>
          </w:p>
        </w:tc>
        <w:tc>
          <w:tcPr>
            <w:tcW w:w="1275" w:type="dxa"/>
            <w:tcBorders>
              <w:top w:val="nil"/>
              <w:left w:val="nil"/>
              <w:bottom w:val="single" w:sz="8" w:space="0" w:color="auto"/>
              <w:right w:val="single" w:sz="8" w:space="0" w:color="auto"/>
            </w:tcBorders>
            <w:shd w:val="clear" w:color="auto" w:fill="auto"/>
            <w:vAlign w:val="center"/>
            <w:hideMark/>
          </w:tcPr>
          <w:p w14:paraId="11EFAD67"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 -2.3</w:t>
            </w:r>
          </w:p>
        </w:tc>
        <w:tc>
          <w:tcPr>
            <w:tcW w:w="1276" w:type="dxa"/>
            <w:tcBorders>
              <w:top w:val="nil"/>
              <w:left w:val="nil"/>
              <w:bottom w:val="single" w:sz="8" w:space="0" w:color="auto"/>
              <w:right w:val="single" w:sz="8" w:space="0" w:color="auto"/>
            </w:tcBorders>
            <w:shd w:val="clear" w:color="auto" w:fill="auto"/>
            <w:vAlign w:val="center"/>
            <w:hideMark/>
          </w:tcPr>
          <w:p w14:paraId="32DC05C9"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-5.6</w:t>
            </w:r>
          </w:p>
        </w:tc>
        <w:tc>
          <w:tcPr>
            <w:tcW w:w="1276" w:type="dxa"/>
            <w:tcBorders>
              <w:top w:val="nil"/>
              <w:left w:val="nil"/>
              <w:bottom w:val="single" w:sz="8" w:space="0" w:color="auto"/>
              <w:right w:val="single" w:sz="8" w:space="0" w:color="auto"/>
            </w:tcBorders>
            <w:shd w:val="clear" w:color="auto" w:fill="auto"/>
            <w:vAlign w:val="center"/>
            <w:hideMark/>
          </w:tcPr>
          <w:p w14:paraId="3DD6C0CB"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-7.1</w:t>
            </w:r>
          </w:p>
        </w:tc>
        <w:tc>
          <w:tcPr>
            <w:tcW w:w="1276" w:type="dxa"/>
            <w:tcBorders>
              <w:top w:val="nil"/>
              <w:left w:val="nil"/>
              <w:bottom w:val="single" w:sz="8" w:space="0" w:color="auto"/>
              <w:right w:val="single" w:sz="8" w:space="0" w:color="auto"/>
            </w:tcBorders>
            <w:shd w:val="clear" w:color="auto" w:fill="auto"/>
            <w:vAlign w:val="center"/>
            <w:hideMark/>
          </w:tcPr>
          <w:p w14:paraId="72AEFE3D"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-7.7</w:t>
            </w:r>
          </w:p>
        </w:tc>
      </w:tr>
      <w:tr w:rsidR="0007247C" w:rsidRPr="0007247C" w14:paraId="0B2A255C" w14:textId="77777777" w:rsidTr="0007247C">
        <w:trPr>
          <w:trHeight w:val="328"/>
        </w:trPr>
        <w:tc>
          <w:tcPr>
            <w:tcW w:w="3818" w:type="dxa"/>
            <w:tcBorders>
              <w:top w:val="nil"/>
              <w:left w:val="single" w:sz="8" w:space="0" w:color="auto"/>
              <w:bottom w:val="single" w:sz="8" w:space="0" w:color="auto"/>
              <w:right w:val="single" w:sz="8" w:space="0" w:color="auto"/>
            </w:tcBorders>
            <w:shd w:val="clear" w:color="auto" w:fill="auto"/>
            <w:hideMark/>
          </w:tcPr>
          <w:p w14:paraId="15104289" w14:textId="77777777" w:rsidR="0007247C" w:rsidRPr="0007247C" w:rsidRDefault="0007247C">
            <w:pPr>
              <w:spacing w:after="0" w:line="240" w:lineRule="auto"/>
              <w:rPr>
                <w:rFonts w:cs="Arial"/>
                <w:color w:val="000000"/>
                <w:szCs w:val="24"/>
                <w:lang w:eastAsia="en-GB"/>
              </w:rPr>
            </w:pPr>
            <w:r w:rsidRPr="0007247C">
              <w:rPr>
                <w:rFonts w:cs="Arial"/>
                <w:color w:val="000000"/>
                <w:szCs w:val="24"/>
                <w:lang w:eastAsia="en-GB"/>
              </w:rPr>
              <w:t>Property</w:t>
            </w:r>
          </w:p>
        </w:tc>
        <w:tc>
          <w:tcPr>
            <w:tcW w:w="1275" w:type="dxa"/>
            <w:tcBorders>
              <w:top w:val="nil"/>
              <w:left w:val="nil"/>
              <w:bottom w:val="single" w:sz="8" w:space="0" w:color="auto"/>
              <w:right w:val="single" w:sz="8" w:space="0" w:color="auto"/>
            </w:tcBorders>
            <w:shd w:val="clear" w:color="auto" w:fill="auto"/>
            <w:vAlign w:val="center"/>
            <w:hideMark/>
          </w:tcPr>
          <w:p w14:paraId="2BD54B6D" w14:textId="77777777" w:rsidR="0007247C" w:rsidRPr="0007247C" w:rsidRDefault="0007247C">
            <w:pPr>
              <w:spacing w:after="0" w:line="240" w:lineRule="auto"/>
              <w:jc w:val="right"/>
              <w:rPr>
                <w:rFonts w:cs="Arial"/>
                <w:color w:val="000000"/>
                <w:szCs w:val="24"/>
                <w:lang w:eastAsia="en-GB"/>
              </w:rPr>
            </w:pPr>
            <w:r w:rsidRPr="0007247C">
              <w:rPr>
                <w:rFonts w:cs="Arial"/>
                <w:color w:val="000000"/>
                <w:szCs w:val="24"/>
                <w:lang w:eastAsia="en-GB"/>
              </w:rPr>
              <w:t>0.0</w:t>
            </w:r>
          </w:p>
        </w:tc>
        <w:tc>
          <w:tcPr>
            <w:tcW w:w="1276" w:type="dxa"/>
            <w:tcBorders>
              <w:top w:val="nil"/>
              <w:left w:val="nil"/>
              <w:bottom w:val="single" w:sz="8" w:space="0" w:color="auto"/>
              <w:right w:val="single" w:sz="8" w:space="0" w:color="auto"/>
            </w:tcBorders>
            <w:shd w:val="clear" w:color="auto" w:fill="auto"/>
            <w:vAlign w:val="center"/>
            <w:hideMark/>
          </w:tcPr>
          <w:p w14:paraId="30BB5D48" w14:textId="77777777" w:rsidR="0007247C" w:rsidRPr="0007247C" w:rsidRDefault="0007247C">
            <w:pPr>
              <w:spacing w:after="0" w:line="240" w:lineRule="auto"/>
              <w:jc w:val="right"/>
              <w:rPr>
                <w:rFonts w:cs="Arial"/>
                <w:color w:val="000000"/>
                <w:szCs w:val="24"/>
                <w:lang w:eastAsia="en-GB"/>
              </w:rPr>
            </w:pPr>
            <w:r w:rsidRPr="0007247C">
              <w:rPr>
                <w:rFonts w:cs="Arial"/>
                <w:color w:val="000000"/>
                <w:szCs w:val="24"/>
                <w:lang w:eastAsia="en-GB"/>
              </w:rPr>
              <w:t>-0.2</w:t>
            </w:r>
          </w:p>
        </w:tc>
        <w:tc>
          <w:tcPr>
            <w:tcW w:w="1276" w:type="dxa"/>
            <w:tcBorders>
              <w:top w:val="nil"/>
              <w:left w:val="nil"/>
              <w:bottom w:val="single" w:sz="8" w:space="0" w:color="auto"/>
              <w:right w:val="single" w:sz="8" w:space="0" w:color="auto"/>
            </w:tcBorders>
            <w:shd w:val="clear" w:color="auto" w:fill="auto"/>
            <w:vAlign w:val="center"/>
            <w:hideMark/>
          </w:tcPr>
          <w:p w14:paraId="1EF64DFA" w14:textId="77777777" w:rsidR="0007247C" w:rsidRPr="0007247C" w:rsidRDefault="0007247C">
            <w:pPr>
              <w:spacing w:after="0" w:line="240" w:lineRule="auto"/>
              <w:jc w:val="right"/>
              <w:rPr>
                <w:rFonts w:cs="Arial"/>
                <w:color w:val="000000"/>
                <w:szCs w:val="24"/>
                <w:lang w:eastAsia="en-GB"/>
              </w:rPr>
            </w:pPr>
            <w:r w:rsidRPr="0007247C">
              <w:rPr>
                <w:rFonts w:cs="Arial"/>
                <w:color w:val="000000"/>
                <w:szCs w:val="24"/>
                <w:lang w:eastAsia="en-GB"/>
              </w:rPr>
              <w:t>-0.4</w:t>
            </w:r>
          </w:p>
        </w:tc>
        <w:tc>
          <w:tcPr>
            <w:tcW w:w="1276" w:type="dxa"/>
            <w:tcBorders>
              <w:top w:val="nil"/>
              <w:left w:val="nil"/>
              <w:bottom w:val="single" w:sz="8" w:space="0" w:color="auto"/>
              <w:right w:val="single" w:sz="8" w:space="0" w:color="auto"/>
            </w:tcBorders>
            <w:shd w:val="clear" w:color="auto" w:fill="auto"/>
            <w:vAlign w:val="center"/>
            <w:hideMark/>
          </w:tcPr>
          <w:p w14:paraId="6A1A39D9" w14:textId="77777777" w:rsidR="0007247C" w:rsidRPr="0007247C" w:rsidRDefault="0007247C">
            <w:pPr>
              <w:spacing w:after="0" w:line="240" w:lineRule="auto"/>
              <w:jc w:val="right"/>
              <w:rPr>
                <w:rFonts w:cs="Arial"/>
                <w:color w:val="000000"/>
                <w:szCs w:val="24"/>
                <w:lang w:eastAsia="en-GB"/>
              </w:rPr>
            </w:pPr>
            <w:r w:rsidRPr="0007247C">
              <w:rPr>
                <w:rFonts w:cs="Arial"/>
                <w:color w:val="000000"/>
                <w:szCs w:val="24"/>
                <w:lang w:eastAsia="en-GB"/>
              </w:rPr>
              <w:t>-0.6</w:t>
            </w:r>
          </w:p>
        </w:tc>
      </w:tr>
      <w:tr w:rsidR="0007247C" w:rsidRPr="0007247C" w14:paraId="609D5AA6" w14:textId="77777777">
        <w:trPr>
          <w:trHeight w:val="328"/>
        </w:trPr>
        <w:tc>
          <w:tcPr>
            <w:tcW w:w="3818" w:type="dxa"/>
            <w:tcBorders>
              <w:top w:val="nil"/>
              <w:left w:val="single" w:sz="8" w:space="0" w:color="auto"/>
              <w:bottom w:val="single" w:sz="8" w:space="0" w:color="auto"/>
              <w:right w:val="single" w:sz="8" w:space="0" w:color="auto"/>
            </w:tcBorders>
            <w:shd w:val="clear" w:color="auto" w:fill="auto"/>
            <w:vAlign w:val="center"/>
          </w:tcPr>
          <w:p w14:paraId="7A55245C" w14:textId="77777777" w:rsidR="0007247C" w:rsidRPr="0007247C" w:rsidRDefault="0007247C" w:rsidP="0007247C">
            <w:pPr>
              <w:spacing w:after="0" w:line="240" w:lineRule="auto"/>
              <w:rPr>
                <w:rFonts w:cs="Arial"/>
                <w:color w:val="000000"/>
                <w:szCs w:val="24"/>
                <w:lang w:eastAsia="en-GB"/>
              </w:rPr>
            </w:pPr>
            <w:r w:rsidRPr="0007247C">
              <w:rPr>
                <w:rFonts w:cs="Arial"/>
                <w:color w:val="000000"/>
                <w:szCs w:val="24"/>
                <w:lang w:eastAsia="en-GB"/>
              </w:rPr>
              <w:t xml:space="preserve">Workforce </w:t>
            </w:r>
          </w:p>
        </w:tc>
        <w:tc>
          <w:tcPr>
            <w:tcW w:w="1275" w:type="dxa"/>
            <w:tcBorders>
              <w:top w:val="nil"/>
              <w:left w:val="nil"/>
              <w:bottom w:val="single" w:sz="8" w:space="0" w:color="auto"/>
              <w:right w:val="single" w:sz="8" w:space="0" w:color="auto"/>
            </w:tcBorders>
            <w:shd w:val="clear" w:color="auto" w:fill="auto"/>
            <w:vAlign w:val="center"/>
          </w:tcPr>
          <w:p w14:paraId="2F60D3A9"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-4.7</w:t>
            </w:r>
          </w:p>
        </w:tc>
        <w:tc>
          <w:tcPr>
            <w:tcW w:w="1276" w:type="dxa"/>
            <w:tcBorders>
              <w:top w:val="nil"/>
              <w:left w:val="nil"/>
              <w:bottom w:val="single" w:sz="8" w:space="0" w:color="auto"/>
              <w:right w:val="single" w:sz="8" w:space="0" w:color="auto"/>
            </w:tcBorders>
            <w:shd w:val="clear" w:color="auto" w:fill="auto"/>
            <w:vAlign w:val="center"/>
          </w:tcPr>
          <w:p w14:paraId="30A4C626"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-7.8</w:t>
            </w:r>
          </w:p>
        </w:tc>
        <w:tc>
          <w:tcPr>
            <w:tcW w:w="1276" w:type="dxa"/>
            <w:tcBorders>
              <w:top w:val="nil"/>
              <w:left w:val="nil"/>
              <w:bottom w:val="single" w:sz="8" w:space="0" w:color="auto"/>
              <w:right w:val="single" w:sz="8" w:space="0" w:color="auto"/>
            </w:tcBorders>
            <w:shd w:val="clear" w:color="auto" w:fill="auto"/>
            <w:vAlign w:val="center"/>
          </w:tcPr>
          <w:p w14:paraId="3C526BC8"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-8.7</w:t>
            </w:r>
          </w:p>
        </w:tc>
        <w:tc>
          <w:tcPr>
            <w:tcW w:w="1276" w:type="dxa"/>
            <w:tcBorders>
              <w:top w:val="nil"/>
              <w:left w:val="nil"/>
              <w:bottom w:val="single" w:sz="8" w:space="0" w:color="auto"/>
              <w:right w:val="single" w:sz="8" w:space="0" w:color="auto"/>
            </w:tcBorders>
            <w:shd w:val="clear" w:color="auto" w:fill="auto"/>
            <w:vAlign w:val="center"/>
          </w:tcPr>
          <w:p w14:paraId="40FDB88A" w14:textId="7777777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-9.6</w:t>
            </w:r>
          </w:p>
        </w:tc>
      </w:tr>
      <w:tr w:rsidR="0007247C" w:rsidRPr="0007247C" w14:paraId="1EC76C99" w14:textId="77777777">
        <w:trPr>
          <w:trHeight w:val="328"/>
        </w:trPr>
        <w:tc>
          <w:tcPr>
            <w:tcW w:w="3818" w:type="dxa"/>
            <w:tcBorders>
              <w:top w:val="nil"/>
              <w:left w:val="single" w:sz="8" w:space="0" w:color="auto"/>
              <w:bottom w:val="single" w:sz="8" w:space="0" w:color="auto"/>
              <w:right w:val="single" w:sz="8" w:space="0" w:color="auto"/>
            </w:tcBorders>
            <w:shd w:val="clear" w:color="auto" w:fill="auto"/>
            <w:vAlign w:val="center"/>
          </w:tcPr>
          <w:p w14:paraId="0FAB8E50" w14:textId="644B6E51" w:rsidR="0007247C" w:rsidRPr="0007247C" w:rsidRDefault="0007247C" w:rsidP="0007247C">
            <w:pPr>
              <w:spacing w:after="0" w:line="240" w:lineRule="auto"/>
              <w:rPr>
                <w:rFonts w:cs="Arial"/>
                <w:color w:val="000000"/>
                <w:szCs w:val="24"/>
                <w:lang w:eastAsia="en-GB"/>
              </w:rPr>
            </w:pPr>
            <w:r w:rsidRPr="0007247C">
              <w:rPr>
                <w:rFonts w:cs="Arial"/>
                <w:color w:val="000000"/>
                <w:szCs w:val="24"/>
                <w:lang w:eastAsia="en-GB"/>
              </w:rPr>
              <w:t>Digital and Technology</w:t>
            </w:r>
            <w:r>
              <w:rPr>
                <w:rFonts w:cs="Arial"/>
                <w:color w:val="000000"/>
                <w:szCs w:val="24"/>
                <w:lang w:eastAsia="en-GB"/>
              </w:rPr>
              <w:t xml:space="preserve"> and Business Processes</w:t>
            </w:r>
          </w:p>
        </w:tc>
        <w:tc>
          <w:tcPr>
            <w:tcW w:w="1275" w:type="dxa"/>
            <w:tcBorders>
              <w:top w:val="nil"/>
              <w:left w:val="nil"/>
              <w:bottom w:val="single" w:sz="8" w:space="0" w:color="auto"/>
              <w:right w:val="single" w:sz="8" w:space="0" w:color="auto"/>
            </w:tcBorders>
            <w:shd w:val="clear" w:color="auto" w:fill="auto"/>
            <w:vAlign w:val="center"/>
          </w:tcPr>
          <w:p w14:paraId="437F5E24" w14:textId="2CA26561"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w:t>
            </w:r>
            <w:r>
              <w:rPr>
                <w:rFonts w:cs="Arial"/>
                <w:color w:val="000000"/>
                <w:szCs w:val="24"/>
                <w:lang w:eastAsia="en-GB"/>
              </w:rPr>
              <w:t>2.0</w:t>
            </w:r>
          </w:p>
        </w:tc>
        <w:tc>
          <w:tcPr>
            <w:tcW w:w="1276" w:type="dxa"/>
            <w:tcBorders>
              <w:top w:val="nil"/>
              <w:left w:val="nil"/>
              <w:bottom w:val="single" w:sz="8" w:space="0" w:color="auto"/>
              <w:right w:val="single" w:sz="8" w:space="0" w:color="auto"/>
            </w:tcBorders>
            <w:shd w:val="clear" w:color="auto" w:fill="auto"/>
            <w:vAlign w:val="center"/>
          </w:tcPr>
          <w:p w14:paraId="084B6512" w14:textId="5BFD506E"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w:t>
            </w:r>
            <w:r>
              <w:rPr>
                <w:rFonts w:cs="Arial"/>
                <w:color w:val="000000"/>
                <w:szCs w:val="24"/>
                <w:lang w:eastAsia="en-GB"/>
              </w:rPr>
              <w:t>7.3</w:t>
            </w:r>
          </w:p>
        </w:tc>
        <w:tc>
          <w:tcPr>
            <w:tcW w:w="1276" w:type="dxa"/>
            <w:tcBorders>
              <w:top w:val="nil"/>
              <w:left w:val="nil"/>
              <w:bottom w:val="single" w:sz="8" w:space="0" w:color="auto"/>
              <w:right w:val="single" w:sz="8" w:space="0" w:color="auto"/>
            </w:tcBorders>
            <w:shd w:val="clear" w:color="auto" w:fill="auto"/>
            <w:vAlign w:val="center"/>
          </w:tcPr>
          <w:p w14:paraId="4F711CC9" w14:textId="0E025337"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w:t>
            </w:r>
            <w:r>
              <w:rPr>
                <w:rFonts w:cs="Arial"/>
                <w:color w:val="000000"/>
                <w:szCs w:val="24"/>
                <w:lang w:eastAsia="en-GB"/>
              </w:rPr>
              <w:t>14.2</w:t>
            </w:r>
          </w:p>
        </w:tc>
        <w:tc>
          <w:tcPr>
            <w:tcW w:w="1276" w:type="dxa"/>
            <w:tcBorders>
              <w:top w:val="nil"/>
              <w:left w:val="nil"/>
              <w:bottom w:val="single" w:sz="8" w:space="0" w:color="auto"/>
              <w:right w:val="single" w:sz="8" w:space="0" w:color="auto"/>
            </w:tcBorders>
            <w:shd w:val="clear" w:color="auto" w:fill="auto"/>
            <w:vAlign w:val="center"/>
          </w:tcPr>
          <w:p w14:paraId="416A1C2B" w14:textId="196EF979" w:rsidR="0007247C" w:rsidRPr="0007247C" w:rsidRDefault="0007247C" w:rsidP="0007247C">
            <w:pPr>
              <w:spacing w:after="0" w:line="240" w:lineRule="auto"/>
              <w:jc w:val="right"/>
              <w:rPr>
                <w:rFonts w:cs="Arial"/>
                <w:color w:val="000000"/>
                <w:szCs w:val="24"/>
                <w:lang w:eastAsia="en-GB"/>
              </w:rPr>
            </w:pPr>
            <w:r w:rsidRPr="0007247C">
              <w:rPr>
                <w:rFonts w:cs="Arial"/>
                <w:color w:val="000000"/>
                <w:szCs w:val="24"/>
                <w:lang w:eastAsia="en-GB"/>
              </w:rPr>
              <w:t>-1</w:t>
            </w:r>
            <w:r w:rsidR="00490DCC">
              <w:rPr>
                <w:rFonts w:cs="Arial"/>
                <w:color w:val="000000"/>
                <w:szCs w:val="24"/>
                <w:lang w:eastAsia="en-GB"/>
              </w:rPr>
              <w:t>4</w:t>
            </w:r>
            <w:r>
              <w:rPr>
                <w:rFonts w:cs="Arial"/>
                <w:color w:val="000000"/>
                <w:szCs w:val="24"/>
                <w:lang w:eastAsia="en-GB"/>
              </w:rPr>
              <w:t>.5</w:t>
            </w:r>
          </w:p>
        </w:tc>
      </w:tr>
      <w:tr w:rsidR="0007247C" w:rsidRPr="0007247C" w14:paraId="62D47EBF" w14:textId="77777777">
        <w:trPr>
          <w:trHeight w:val="558"/>
        </w:trPr>
        <w:tc>
          <w:tcPr>
            <w:tcW w:w="3818" w:type="dxa"/>
            <w:tcBorders>
              <w:top w:val="nil"/>
              <w:left w:val="single" w:sz="8" w:space="0" w:color="auto"/>
              <w:bottom w:val="single" w:sz="8" w:space="0" w:color="auto"/>
              <w:right w:val="single" w:sz="8" w:space="0" w:color="auto"/>
            </w:tcBorders>
            <w:shd w:val="clear" w:color="000000" w:fill="D9D9D9"/>
            <w:vAlign w:val="center"/>
            <w:hideMark/>
          </w:tcPr>
          <w:p w14:paraId="4CB236EA" w14:textId="77777777" w:rsidR="0007247C" w:rsidRPr="0007247C" w:rsidRDefault="0007247C" w:rsidP="0007247C">
            <w:pPr>
              <w:spacing w:after="0" w:line="240" w:lineRule="auto"/>
              <w:rPr>
                <w:rFonts w:cs="Arial"/>
                <w:b/>
                <w:bCs/>
                <w:color w:val="000000"/>
                <w:szCs w:val="24"/>
                <w:lang w:eastAsia="en-GB"/>
              </w:rPr>
            </w:pPr>
            <w:r w:rsidRPr="0007247C">
              <w:rPr>
                <w:rFonts w:cs="Arial"/>
                <w:b/>
                <w:bCs/>
                <w:color w:val="000000"/>
                <w:szCs w:val="24"/>
                <w:lang w:eastAsia="en-GB"/>
              </w:rPr>
              <w:t>Total</w:t>
            </w:r>
          </w:p>
        </w:tc>
        <w:tc>
          <w:tcPr>
            <w:tcW w:w="1275" w:type="dxa"/>
            <w:tcBorders>
              <w:top w:val="nil"/>
              <w:left w:val="nil"/>
              <w:bottom w:val="single" w:sz="8" w:space="0" w:color="auto"/>
              <w:right w:val="single" w:sz="8" w:space="0" w:color="auto"/>
            </w:tcBorders>
            <w:shd w:val="clear" w:color="000000" w:fill="D9D9D9"/>
            <w:vAlign w:val="center"/>
          </w:tcPr>
          <w:p w14:paraId="6BF17A9C" w14:textId="77777777" w:rsidR="0007247C" w:rsidRPr="0007247C" w:rsidRDefault="0007247C" w:rsidP="0007247C">
            <w:pPr>
              <w:spacing w:after="0" w:line="240" w:lineRule="auto"/>
              <w:jc w:val="right"/>
              <w:rPr>
                <w:rFonts w:cs="Arial"/>
                <w:b/>
                <w:bCs/>
                <w:color w:val="000000"/>
                <w:szCs w:val="24"/>
                <w:lang w:eastAsia="en-GB"/>
              </w:rPr>
            </w:pPr>
            <w:r w:rsidRPr="0007247C">
              <w:rPr>
                <w:rFonts w:cs="Arial"/>
                <w:b/>
                <w:bCs/>
                <w:color w:val="000000"/>
                <w:szCs w:val="24"/>
                <w:lang w:eastAsia="en-GB"/>
              </w:rPr>
              <w:t>-9.0</w:t>
            </w:r>
          </w:p>
        </w:tc>
        <w:tc>
          <w:tcPr>
            <w:tcW w:w="1276" w:type="dxa"/>
            <w:tcBorders>
              <w:top w:val="nil"/>
              <w:left w:val="nil"/>
              <w:bottom w:val="single" w:sz="8" w:space="0" w:color="auto"/>
              <w:right w:val="single" w:sz="8" w:space="0" w:color="auto"/>
            </w:tcBorders>
            <w:shd w:val="clear" w:color="000000" w:fill="D9D9D9"/>
            <w:vAlign w:val="center"/>
          </w:tcPr>
          <w:p w14:paraId="29F99714" w14:textId="3B97C6E6" w:rsidR="0007247C" w:rsidRPr="0007247C" w:rsidRDefault="0007247C" w:rsidP="0007247C">
            <w:pPr>
              <w:spacing w:after="0" w:line="240" w:lineRule="auto"/>
              <w:jc w:val="right"/>
              <w:rPr>
                <w:rFonts w:cs="Arial"/>
                <w:b/>
                <w:bCs/>
                <w:color w:val="000000"/>
                <w:szCs w:val="24"/>
                <w:lang w:eastAsia="en-GB"/>
              </w:rPr>
            </w:pPr>
            <w:r w:rsidRPr="0007247C">
              <w:rPr>
                <w:rFonts w:cs="Arial"/>
                <w:b/>
                <w:bCs/>
                <w:color w:val="000000"/>
                <w:szCs w:val="24"/>
                <w:lang w:eastAsia="en-GB"/>
              </w:rPr>
              <w:t>-20.</w:t>
            </w:r>
            <w:r w:rsidR="00460A8C">
              <w:rPr>
                <w:rFonts w:cs="Arial"/>
                <w:b/>
                <w:bCs/>
                <w:color w:val="000000"/>
                <w:szCs w:val="24"/>
                <w:lang w:eastAsia="en-GB"/>
              </w:rPr>
              <w:t>7</w:t>
            </w:r>
          </w:p>
        </w:tc>
        <w:tc>
          <w:tcPr>
            <w:tcW w:w="1276" w:type="dxa"/>
            <w:tcBorders>
              <w:top w:val="nil"/>
              <w:left w:val="nil"/>
              <w:bottom w:val="single" w:sz="8" w:space="0" w:color="auto"/>
              <w:right w:val="single" w:sz="8" w:space="0" w:color="auto"/>
            </w:tcBorders>
            <w:shd w:val="clear" w:color="000000" w:fill="D9D9D9"/>
            <w:vAlign w:val="center"/>
          </w:tcPr>
          <w:p w14:paraId="67259D06" w14:textId="77777777" w:rsidR="0007247C" w:rsidRPr="0007247C" w:rsidRDefault="0007247C" w:rsidP="0007247C">
            <w:pPr>
              <w:spacing w:after="0" w:line="240" w:lineRule="auto"/>
              <w:jc w:val="right"/>
              <w:rPr>
                <w:rFonts w:cs="Arial"/>
                <w:b/>
                <w:bCs/>
                <w:color w:val="000000"/>
                <w:szCs w:val="24"/>
                <w:lang w:eastAsia="en-GB"/>
              </w:rPr>
            </w:pPr>
            <w:r w:rsidRPr="0007247C">
              <w:rPr>
                <w:rFonts w:cs="Arial"/>
                <w:b/>
                <w:bCs/>
                <w:color w:val="000000"/>
                <w:szCs w:val="24"/>
                <w:lang w:eastAsia="en-GB"/>
              </w:rPr>
              <w:t>-30.4</w:t>
            </w:r>
          </w:p>
        </w:tc>
        <w:tc>
          <w:tcPr>
            <w:tcW w:w="1276" w:type="dxa"/>
            <w:tcBorders>
              <w:top w:val="nil"/>
              <w:left w:val="nil"/>
              <w:bottom w:val="single" w:sz="8" w:space="0" w:color="auto"/>
              <w:right w:val="single" w:sz="8" w:space="0" w:color="auto"/>
            </w:tcBorders>
            <w:shd w:val="clear" w:color="000000" w:fill="D9D9D9"/>
            <w:vAlign w:val="center"/>
          </w:tcPr>
          <w:p w14:paraId="2905E951" w14:textId="77777777" w:rsidR="0007247C" w:rsidRPr="0007247C" w:rsidRDefault="0007247C" w:rsidP="0007247C">
            <w:pPr>
              <w:spacing w:after="0" w:line="240" w:lineRule="auto"/>
              <w:jc w:val="right"/>
              <w:rPr>
                <w:rFonts w:cs="Arial"/>
                <w:b/>
                <w:bCs/>
                <w:color w:val="000000"/>
                <w:szCs w:val="24"/>
                <w:lang w:eastAsia="en-GB"/>
              </w:rPr>
            </w:pPr>
            <w:r w:rsidRPr="0007247C">
              <w:rPr>
                <w:rFonts w:cs="Arial"/>
                <w:b/>
                <w:bCs/>
                <w:color w:val="000000"/>
                <w:szCs w:val="24"/>
                <w:lang w:eastAsia="en-GB"/>
              </w:rPr>
              <w:t>-32.4</w:t>
            </w:r>
          </w:p>
        </w:tc>
      </w:tr>
    </w:tbl>
    <w:p w14:paraId="4B0DF8C8" w14:textId="77777777" w:rsidR="001E11AE" w:rsidRPr="001E11AE" w:rsidRDefault="001E11AE" w:rsidP="001E11AE">
      <w:pPr>
        <w:tabs>
          <w:tab w:val="left" w:pos="567"/>
          <w:tab w:val="left" w:pos="1134"/>
        </w:tabs>
        <w:spacing w:after="0"/>
        <w:jc w:val="both"/>
        <w:rPr>
          <w:rFonts w:cs="Arial"/>
          <w:iCs/>
          <w:szCs w:val="24"/>
        </w:rPr>
      </w:pPr>
    </w:p>
    <w:p w14:paraId="720DE53F" w14:textId="77777777" w:rsidR="001E11AE" w:rsidRPr="001E11AE" w:rsidRDefault="001E11AE" w:rsidP="001E11AE">
      <w:pPr>
        <w:tabs>
          <w:tab w:val="left" w:pos="567"/>
          <w:tab w:val="left" w:pos="1134"/>
        </w:tabs>
        <w:spacing w:after="0"/>
        <w:jc w:val="both"/>
        <w:rPr>
          <w:rFonts w:cs="Arial"/>
          <w:iCs/>
          <w:szCs w:val="24"/>
        </w:rPr>
      </w:pPr>
      <w:r w:rsidRPr="001E11AE">
        <w:rPr>
          <w:rFonts w:cs="Arial"/>
          <w:b/>
          <w:bCs/>
          <w:i/>
          <w:szCs w:val="24"/>
        </w:rPr>
        <w:t xml:space="preserve">Contracts </w:t>
      </w:r>
      <w:r w:rsidRPr="001E11AE">
        <w:rPr>
          <w:rFonts w:cs="Arial"/>
          <w:iCs/>
          <w:szCs w:val="24"/>
        </w:rPr>
        <w:t>– The Council has commissioned a review of Contract Management within the organisation and looking to save a minimum of 2% of the spend in this area through more effective management of existing contracts and more effective methods of recommissioning existing contracts and/or expenditure.</w:t>
      </w:r>
    </w:p>
    <w:p w14:paraId="1A20A4DD" w14:textId="77777777" w:rsidR="001E11AE" w:rsidRPr="001E11AE" w:rsidRDefault="001E11AE" w:rsidP="001E11AE">
      <w:pPr>
        <w:tabs>
          <w:tab w:val="left" w:pos="567"/>
          <w:tab w:val="left" w:pos="1134"/>
        </w:tabs>
        <w:spacing w:after="0"/>
        <w:jc w:val="both"/>
        <w:rPr>
          <w:rFonts w:cs="Arial"/>
          <w:iCs/>
          <w:szCs w:val="24"/>
        </w:rPr>
      </w:pPr>
    </w:p>
    <w:p w14:paraId="7161793D" w14:textId="1B9821D7" w:rsidR="001E11AE" w:rsidRDefault="001E11AE" w:rsidP="001E11AE">
      <w:pPr>
        <w:tabs>
          <w:tab w:val="left" w:pos="567"/>
          <w:tab w:val="left" w:pos="1134"/>
        </w:tabs>
        <w:spacing w:after="0"/>
        <w:jc w:val="both"/>
        <w:rPr>
          <w:rFonts w:cs="Arial"/>
          <w:iCs/>
          <w:szCs w:val="24"/>
        </w:rPr>
      </w:pPr>
      <w:r w:rsidRPr="001E11AE">
        <w:rPr>
          <w:rFonts w:cs="Arial"/>
          <w:b/>
          <w:bCs/>
          <w:i/>
          <w:szCs w:val="24"/>
        </w:rPr>
        <w:t>Property</w:t>
      </w:r>
      <w:r w:rsidRPr="001E11AE">
        <w:rPr>
          <w:rFonts w:cs="Arial"/>
          <w:iCs/>
          <w:szCs w:val="24"/>
        </w:rPr>
        <w:t xml:space="preserve"> - The property workstream is targeting a reduction in the size and cost of our property holdings through the strategic property review and will also help to deliver a </w:t>
      </w:r>
      <w:r w:rsidRPr="001E11AE">
        <w:rPr>
          <w:rFonts w:cs="Arial"/>
          <w:iCs/>
          <w:szCs w:val="24"/>
        </w:rPr>
        <w:lastRenderedPageBreak/>
        <w:t>level of one-off capital receipts which will be used to support the revenue budget over the next financial year as outlined in the report. The property review is being delivered in line with the principles of the approved Property asset management Strategy which was approved in February 2020.</w:t>
      </w:r>
    </w:p>
    <w:p w14:paraId="7CEADE5B" w14:textId="77777777" w:rsidR="001E11AE" w:rsidRPr="001E11AE" w:rsidRDefault="001E11AE" w:rsidP="001E11AE">
      <w:pPr>
        <w:tabs>
          <w:tab w:val="left" w:pos="567"/>
          <w:tab w:val="left" w:pos="1134"/>
        </w:tabs>
        <w:spacing w:after="0"/>
        <w:jc w:val="both"/>
        <w:rPr>
          <w:rFonts w:cs="Arial"/>
          <w:iCs/>
          <w:szCs w:val="24"/>
        </w:rPr>
      </w:pPr>
    </w:p>
    <w:p w14:paraId="437519E3" w14:textId="77777777" w:rsidR="001E11AE" w:rsidRPr="001E11AE" w:rsidRDefault="001E11AE" w:rsidP="001E11AE">
      <w:pPr>
        <w:tabs>
          <w:tab w:val="left" w:pos="567"/>
          <w:tab w:val="left" w:pos="1134"/>
        </w:tabs>
        <w:spacing w:after="0"/>
        <w:jc w:val="both"/>
        <w:rPr>
          <w:rFonts w:cs="Arial"/>
          <w:iCs/>
          <w:szCs w:val="24"/>
        </w:rPr>
      </w:pPr>
      <w:r w:rsidRPr="001E11AE">
        <w:rPr>
          <w:rFonts w:cs="Arial"/>
          <w:iCs/>
          <w:szCs w:val="24"/>
        </w:rPr>
        <w:t xml:space="preserve">The strategy contains objectives to review the property portfolio to ensure that it is appropriate for service delivery to ensure that the Council maximises use of its properties to maintain value for money. The ongoing review is taking full account of opportunities arising from new ways of working and the use of technology, which is reducing the demand for property. The review is also taking property condition, and decarbonisation ambitions into account as well as ensuring that service needs are properly understood and provided for as part of the process to ensure quality services to residents. </w:t>
      </w:r>
    </w:p>
    <w:p w14:paraId="7E6EF5B3" w14:textId="77777777" w:rsidR="001E11AE" w:rsidRPr="001E11AE" w:rsidRDefault="001E11AE" w:rsidP="001E11AE">
      <w:pPr>
        <w:tabs>
          <w:tab w:val="left" w:pos="567"/>
          <w:tab w:val="left" w:pos="1134"/>
        </w:tabs>
        <w:spacing w:after="0"/>
        <w:jc w:val="both"/>
        <w:rPr>
          <w:rFonts w:cs="Arial"/>
          <w:iCs/>
          <w:szCs w:val="24"/>
        </w:rPr>
      </w:pPr>
    </w:p>
    <w:p w14:paraId="01D4C4E0" w14:textId="3EA41F1F" w:rsidR="001E11AE" w:rsidRPr="001E11AE" w:rsidRDefault="001E11AE" w:rsidP="001E11AE">
      <w:pPr>
        <w:tabs>
          <w:tab w:val="left" w:pos="567"/>
          <w:tab w:val="left" w:pos="1134"/>
        </w:tabs>
        <w:spacing w:after="0"/>
        <w:jc w:val="both"/>
        <w:rPr>
          <w:rFonts w:cs="Arial"/>
          <w:iCs/>
          <w:szCs w:val="24"/>
        </w:rPr>
      </w:pPr>
      <w:r w:rsidRPr="001E11AE">
        <w:rPr>
          <w:rFonts w:cs="Arial"/>
          <w:b/>
          <w:bCs/>
          <w:i/>
          <w:szCs w:val="24"/>
        </w:rPr>
        <w:t>Workforce</w:t>
      </w:r>
      <w:r w:rsidRPr="001E11AE">
        <w:rPr>
          <w:rFonts w:cs="Arial"/>
          <w:iCs/>
          <w:szCs w:val="24"/>
        </w:rPr>
        <w:t xml:space="preserve"> - The workforce saving is based on reductions in agency staff expenditure, improved sickness absence levels, robust vacancy management and a review of management spans and layers to reflect best practice seen in other large high performing Councils/organisations. The savings will be delivered alongside the development and implementation of the ‘People </w:t>
      </w:r>
      <w:r w:rsidR="00FA40FD">
        <w:rPr>
          <w:rFonts w:cs="Arial"/>
          <w:iCs/>
          <w:szCs w:val="24"/>
        </w:rPr>
        <w:t>S</w:t>
      </w:r>
      <w:r w:rsidRPr="001E11AE">
        <w:rPr>
          <w:rFonts w:cs="Arial"/>
          <w:iCs/>
          <w:szCs w:val="24"/>
        </w:rPr>
        <w:t>trategy’ which will help mitigate recruitment and retention issues and develop an organisational development strategy for a modern ambitious forward-thinking council.</w:t>
      </w:r>
    </w:p>
    <w:p w14:paraId="5A9167C4" w14:textId="77777777" w:rsidR="001E11AE" w:rsidRPr="001E11AE" w:rsidRDefault="001E11AE" w:rsidP="001E11AE">
      <w:pPr>
        <w:tabs>
          <w:tab w:val="left" w:pos="567"/>
          <w:tab w:val="left" w:pos="1134"/>
        </w:tabs>
        <w:spacing w:after="0"/>
        <w:jc w:val="both"/>
        <w:rPr>
          <w:rFonts w:cs="Arial"/>
          <w:iCs/>
          <w:szCs w:val="24"/>
        </w:rPr>
      </w:pPr>
    </w:p>
    <w:p w14:paraId="56DD55B5" w14:textId="72AD91AB" w:rsidR="006C1693" w:rsidRDefault="001E11AE" w:rsidP="001E11AE">
      <w:pPr>
        <w:tabs>
          <w:tab w:val="left" w:pos="567"/>
          <w:tab w:val="left" w:pos="1134"/>
        </w:tabs>
        <w:spacing w:after="0"/>
        <w:jc w:val="both"/>
        <w:rPr>
          <w:rFonts w:cs="Arial"/>
          <w:b/>
          <w:bCs/>
          <w:iCs/>
          <w:szCs w:val="24"/>
        </w:rPr>
      </w:pPr>
      <w:r w:rsidRPr="006759EF">
        <w:rPr>
          <w:rFonts w:cs="Arial"/>
          <w:b/>
          <w:bCs/>
          <w:i/>
          <w:szCs w:val="24"/>
        </w:rPr>
        <w:t>Digital and Technology and Business Processes</w:t>
      </w:r>
      <w:r w:rsidRPr="001E11AE">
        <w:rPr>
          <w:rFonts w:cs="Arial"/>
          <w:iCs/>
          <w:szCs w:val="24"/>
        </w:rPr>
        <w:t xml:space="preserve"> – The Council will be reviewing its business processes to ensure they are streamlined and fit for purpose for a modern </w:t>
      </w:r>
      <w:r w:rsidR="00FA40FD">
        <w:rPr>
          <w:rFonts w:cs="Arial"/>
          <w:iCs/>
          <w:szCs w:val="24"/>
        </w:rPr>
        <w:t>c</w:t>
      </w:r>
      <w:r w:rsidRPr="001E11AE">
        <w:rPr>
          <w:rFonts w:cs="Arial"/>
          <w:iCs/>
          <w:szCs w:val="24"/>
        </w:rPr>
        <w:t xml:space="preserve">ouncil, making changes that reduce cost and/or improve the customer experience. A full review of the existing and future needs of the </w:t>
      </w:r>
      <w:r w:rsidR="00FA40FD">
        <w:rPr>
          <w:rFonts w:cs="Arial"/>
          <w:iCs/>
          <w:szCs w:val="24"/>
        </w:rPr>
        <w:t>c</w:t>
      </w:r>
      <w:r w:rsidRPr="001E11AE">
        <w:rPr>
          <w:rFonts w:cs="Arial"/>
          <w:iCs/>
          <w:szCs w:val="24"/>
        </w:rPr>
        <w:t>ouncil</w:t>
      </w:r>
      <w:r w:rsidR="00FA40FD">
        <w:rPr>
          <w:rFonts w:cs="Arial"/>
          <w:iCs/>
          <w:szCs w:val="24"/>
        </w:rPr>
        <w:t>'</w:t>
      </w:r>
      <w:r w:rsidRPr="001E11AE">
        <w:rPr>
          <w:rFonts w:cs="Arial"/>
          <w:iCs/>
          <w:szCs w:val="24"/>
        </w:rPr>
        <w:t>s ICT estate and digital infrastructure will be undertaken including a rationalisation of the existing platforms and ensuring all replacements are adopted in an optimal manner.</w:t>
      </w:r>
    </w:p>
    <w:p w14:paraId="0363480E" w14:textId="77777777" w:rsidR="00042FB7" w:rsidRDefault="00042FB7" w:rsidP="00EB06AD">
      <w:pPr>
        <w:tabs>
          <w:tab w:val="left" w:pos="567"/>
          <w:tab w:val="left" w:pos="1134"/>
        </w:tabs>
        <w:spacing w:after="0"/>
        <w:jc w:val="both"/>
        <w:rPr>
          <w:rFonts w:cs="Arial"/>
          <w:b/>
          <w:bCs/>
          <w:iCs/>
          <w:szCs w:val="24"/>
        </w:rPr>
      </w:pPr>
    </w:p>
    <w:p w14:paraId="4F61A46C" w14:textId="77777777" w:rsidR="00042FB7" w:rsidRDefault="00042FB7" w:rsidP="00EB06AD">
      <w:pPr>
        <w:tabs>
          <w:tab w:val="left" w:pos="567"/>
          <w:tab w:val="left" w:pos="1134"/>
        </w:tabs>
        <w:spacing w:after="0"/>
        <w:jc w:val="both"/>
        <w:rPr>
          <w:rFonts w:cs="Arial"/>
          <w:b/>
          <w:bCs/>
          <w:iCs/>
          <w:szCs w:val="24"/>
        </w:rPr>
      </w:pPr>
    </w:p>
    <w:p w14:paraId="0BCEFB23" w14:textId="77777777" w:rsidR="00042FB7" w:rsidRDefault="00042FB7" w:rsidP="00EB06AD">
      <w:pPr>
        <w:tabs>
          <w:tab w:val="left" w:pos="567"/>
          <w:tab w:val="left" w:pos="1134"/>
        </w:tabs>
        <w:spacing w:after="0"/>
        <w:jc w:val="both"/>
        <w:rPr>
          <w:rFonts w:cs="Arial"/>
          <w:b/>
          <w:bCs/>
          <w:iCs/>
          <w:szCs w:val="24"/>
        </w:rPr>
      </w:pPr>
    </w:p>
    <w:p w14:paraId="728B3B29" w14:textId="77777777" w:rsidR="00042FB7" w:rsidRDefault="00042FB7" w:rsidP="00EB06AD">
      <w:pPr>
        <w:tabs>
          <w:tab w:val="left" w:pos="567"/>
          <w:tab w:val="left" w:pos="1134"/>
        </w:tabs>
        <w:spacing w:after="0"/>
        <w:jc w:val="both"/>
        <w:rPr>
          <w:rFonts w:cs="Arial"/>
          <w:b/>
          <w:bCs/>
          <w:iCs/>
          <w:szCs w:val="24"/>
        </w:rPr>
      </w:pPr>
    </w:p>
    <w:p w14:paraId="08660931" w14:textId="77777777" w:rsidR="00042FB7" w:rsidRDefault="00042FB7" w:rsidP="00EB06AD">
      <w:pPr>
        <w:tabs>
          <w:tab w:val="left" w:pos="567"/>
          <w:tab w:val="left" w:pos="1134"/>
        </w:tabs>
        <w:spacing w:after="0"/>
        <w:jc w:val="both"/>
        <w:rPr>
          <w:rFonts w:cs="Arial"/>
          <w:b/>
          <w:bCs/>
          <w:iCs/>
          <w:szCs w:val="24"/>
        </w:rPr>
      </w:pPr>
    </w:p>
    <w:p w14:paraId="11A6443B" w14:textId="77777777" w:rsidR="00042FB7" w:rsidRDefault="00042FB7" w:rsidP="00EB06AD">
      <w:pPr>
        <w:tabs>
          <w:tab w:val="left" w:pos="567"/>
          <w:tab w:val="left" w:pos="1134"/>
        </w:tabs>
        <w:spacing w:after="0"/>
        <w:jc w:val="both"/>
        <w:rPr>
          <w:rFonts w:cs="Arial"/>
          <w:b/>
          <w:bCs/>
          <w:iCs/>
          <w:szCs w:val="24"/>
        </w:rPr>
      </w:pPr>
    </w:p>
    <w:p w14:paraId="7E6EC918" w14:textId="77777777" w:rsidR="00042FB7" w:rsidRDefault="00042FB7" w:rsidP="00EB06AD">
      <w:pPr>
        <w:tabs>
          <w:tab w:val="left" w:pos="567"/>
          <w:tab w:val="left" w:pos="1134"/>
        </w:tabs>
        <w:spacing w:after="0"/>
        <w:jc w:val="both"/>
        <w:rPr>
          <w:rFonts w:cs="Arial"/>
          <w:b/>
          <w:bCs/>
          <w:iCs/>
          <w:szCs w:val="24"/>
        </w:rPr>
      </w:pPr>
    </w:p>
    <w:p w14:paraId="6D6495B0" w14:textId="77777777" w:rsidR="00042FB7" w:rsidRDefault="00042FB7" w:rsidP="00EB06AD">
      <w:pPr>
        <w:tabs>
          <w:tab w:val="left" w:pos="567"/>
          <w:tab w:val="left" w:pos="1134"/>
        </w:tabs>
        <w:spacing w:after="0"/>
        <w:jc w:val="both"/>
        <w:rPr>
          <w:rFonts w:cs="Arial"/>
          <w:b/>
          <w:bCs/>
          <w:iCs/>
          <w:szCs w:val="24"/>
        </w:rPr>
      </w:pPr>
    </w:p>
    <w:p w14:paraId="2013256A" w14:textId="0B6E3614" w:rsidR="00042FB7" w:rsidRDefault="00042FB7" w:rsidP="00EB06AD">
      <w:pPr>
        <w:tabs>
          <w:tab w:val="left" w:pos="567"/>
          <w:tab w:val="left" w:pos="1134"/>
        </w:tabs>
        <w:spacing w:after="0"/>
        <w:jc w:val="both"/>
        <w:rPr>
          <w:rFonts w:cs="Arial"/>
          <w:b/>
          <w:bCs/>
          <w:iCs/>
          <w:szCs w:val="24"/>
        </w:rPr>
      </w:pPr>
    </w:p>
    <w:p w14:paraId="1E1D44FB" w14:textId="63EC0EFF" w:rsidR="00D33BE7" w:rsidRDefault="00D33BE7" w:rsidP="00EB06AD">
      <w:pPr>
        <w:tabs>
          <w:tab w:val="left" w:pos="567"/>
          <w:tab w:val="left" w:pos="1134"/>
        </w:tabs>
        <w:spacing w:after="0"/>
        <w:jc w:val="both"/>
        <w:rPr>
          <w:rFonts w:cs="Arial"/>
          <w:b/>
          <w:bCs/>
          <w:iCs/>
          <w:szCs w:val="24"/>
        </w:rPr>
      </w:pPr>
    </w:p>
    <w:p w14:paraId="72084737" w14:textId="07BA3041" w:rsidR="00D33BE7" w:rsidRDefault="00D33BE7" w:rsidP="00EB06AD">
      <w:pPr>
        <w:tabs>
          <w:tab w:val="left" w:pos="567"/>
          <w:tab w:val="left" w:pos="1134"/>
        </w:tabs>
        <w:spacing w:after="0"/>
        <w:jc w:val="both"/>
        <w:rPr>
          <w:rFonts w:cs="Arial"/>
          <w:b/>
          <w:bCs/>
          <w:iCs/>
          <w:szCs w:val="24"/>
        </w:rPr>
      </w:pPr>
    </w:p>
    <w:p w14:paraId="0CD9ED15" w14:textId="1F68EC56" w:rsidR="00FA40FD" w:rsidRDefault="00FA40FD" w:rsidP="00EB06AD">
      <w:pPr>
        <w:tabs>
          <w:tab w:val="left" w:pos="567"/>
          <w:tab w:val="left" w:pos="1134"/>
        </w:tabs>
        <w:spacing w:after="0"/>
        <w:jc w:val="both"/>
        <w:rPr>
          <w:rFonts w:cs="Arial"/>
          <w:b/>
          <w:bCs/>
          <w:iCs/>
          <w:szCs w:val="24"/>
        </w:rPr>
      </w:pPr>
    </w:p>
    <w:p w14:paraId="173F7171" w14:textId="77EFB97D" w:rsidR="00FA40FD" w:rsidRDefault="00FA40FD" w:rsidP="00EB06AD">
      <w:pPr>
        <w:tabs>
          <w:tab w:val="left" w:pos="567"/>
          <w:tab w:val="left" w:pos="1134"/>
        </w:tabs>
        <w:spacing w:after="0"/>
        <w:jc w:val="both"/>
        <w:rPr>
          <w:rFonts w:cs="Arial"/>
          <w:b/>
          <w:bCs/>
          <w:iCs/>
          <w:szCs w:val="24"/>
        </w:rPr>
      </w:pPr>
    </w:p>
    <w:p w14:paraId="42ABEE84" w14:textId="77777777" w:rsidR="00FA40FD" w:rsidRDefault="00FA40FD" w:rsidP="00EB06AD">
      <w:pPr>
        <w:tabs>
          <w:tab w:val="left" w:pos="567"/>
          <w:tab w:val="left" w:pos="1134"/>
        </w:tabs>
        <w:spacing w:after="0"/>
        <w:jc w:val="both"/>
        <w:rPr>
          <w:rFonts w:cs="Arial"/>
          <w:b/>
          <w:bCs/>
          <w:iCs/>
          <w:szCs w:val="24"/>
        </w:rPr>
      </w:pPr>
    </w:p>
    <w:p w14:paraId="1B5E1D13" w14:textId="77777777" w:rsidR="009663C7" w:rsidRDefault="009663C7" w:rsidP="00EB06AD">
      <w:pPr>
        <w:tabs>
          <w:tab w:val="left" w:pos="567"/>
          <w:tab w:val="left" w:pos="1134"/>
        </w:tabs>
        <w:spacing w:after="0"/>
        <w:jc w:val="both"/>
        <w:rPr>
          <w:rFonts w:cs="Arial"/>
          <w:b/>
          <w:bCs/>
          <w:iCs/>
          <w:szCs w:val="24"/>
        </w:rPr>
      </w:pPr>
    </w:p>
    <w:p w14:paraId="66DB356C" w14:textId="77777777" w:rsidR="006D3951" w:rsidRDefault="006D3951" w:rsidP="00EB06AD">
      <w:pPr>
        <w:tabs>
          <w:tab w:val="left" w:pos="567"/>
          <w:tab w:val="left" w:pos="1134"/>
        </w:tabs>
        <w:spacing w:after="0"/>
        <w:jc w:val="both"/>
        <w:rPr>
          <w:rFonts w:cs="Arial"/>
          <w:b/>
          <w:bCs/>
          <w:iCs/>
          <w:szCs w:val="24"/>
        </w:rPr>
      </w:pPr>
    </w:p>
    <w:p w14:paraId="0CBE26C8" w14:textId="707B9A71" w:rsidR="00EB06AD" w:rsidRDefault="005A2610" w:rsidP="00EB06AD">
      <w:pPr>
        <w:tabs>
          <w:tab w:val="left" w:pos="567"/>
          <w:tab w:val="left" w:pos="1134"/>
        </w:tabs>
        <w:spacing w:after="0"/>
        <w:jc w:val="both"/>
        <w:rPr>
          <w:rFonts w:cs="Arial"/>
          <w:b/>
          <w:bCs/>
          <w:iCs/>
          <w:szCs w:val="24"/>
        </w:rPr>
      </w:pPr>
      <w:r>
        <w:rPr>
          <w:rFonts w:cs="Arial"/>
          <w:b/>
          <w:bCs/>
          <w:iCs/>
          <w:szCs w:val="24"/>
        </w:rPr>
        <w:lastRenderedPageBreak/>
        <w:t>6</w:t>
      </w:r>
      <w:r w:rsidR="00EB06AD" w:rsidRPr="00EB06AD">
        <w:rPr>
          <w:rFonts w:cs="Arial"/>
          <w:b/>
          <w:bCs/>
          <w:iCs/>
          <w:szCs w:val="24"/>
        </w:rPr>
        <w:t xml:space="preserve">. </w:t>
      </w:r>
      <w:r w:rsidR="00EE4778" w:rsidRPr="00EB06AD">
        <w:rPr>
          <w:rFonts w:cs="Arial"/>
          <w:b/>
          <w:bCs/>
          <w:iCs/>
          <w:szCs w:val="24"/>
        </w:rPr>
        <w:t xml:space="preserve"> Reserves</w:t>
      </w:r>
    </w:p>
    <w:p w14:paraId="157746B5" w14:textId="77777777" w:rsidR="00FE469B" w:rsidRDefault="00FE469B" w:rsidP="00EB06AD">
      <w:pPr>
        <w:tabs>
          <w:tab w:val="left" w:pos="567"/>
          <w:tab w:val="left" w:pos="1134"/>
        </w:tabs>
        <w:spacing w:after="0"/>
        <w:jc w:val="both"/>
        <w:rPr>
          <w:rFonts w:cs="Arial"/>
          <w:b/>
          <w:bCs/>
          <w:iCs/>
        </w:rPr>
      </w:pPr>
    </w:p>
    <w:p w14:paraId="3E78AA12" w14:textId="3FA461A4" w:rsidR="00640F8C" w:rsidRPr="00EB06AD" w:rsidRDefault="00EE4778" w:rsidP="00EB06AD">
      <w:pPr>
        <w:tabs>
          <w:tab w:val="left" w:pos="567"/>
          <w:tab w:val="left" w:pos="1134"/>
        </w:tabs>
        <w:spacing w:after="0"/>
        <w:jc w:val="both"/>
        <w:rPr>
          <w:rFonts w:cs="Arial"/>
          <w:b/>
          <w:bCs/>
          <w:iCs/>
        </w:rPr>
      </w:pPr>
      <w:r w:rsidRPr="00EB06AD">
        <w:rPr>
          <w:rFonts w:eastAsia="Calibri" w:cs="Arial"/>
          <w:color w:val="000000" w:themeColor="text1"/>
        </w:rPr>
        <w:t xml:space="preserve">The latest reserves position is shown in Table </w:t>
      </w:r>
      <w:r w:rsidR="00490DCC">
        <w:rPr>
          <w:rFonts w:eastAsia="Calibri" w:cs="Arial"/>
          <w:color w:val="000000" w:themeColor="text1"/>
        </w:rPr>
        <w:t>8</w:t>
      </w:r>
      <w:r w:rsidR="00EB06AD">
        <w:rPr>
          <w:rFonts w:eastAsia="Calibri" w:cs="Arial"/>
          <w:color w:val="000000" w:themeColor="text1"/>
        </w:rPr>
        <w:t>.</w:t>
      </w:r>
      <w:r w:rsidRPr="00EB06AD">
        <w:rPr>
          <w:rFonts w:eastAsia="Calibri" w:cs="Arial"/>
          <w:color w:val="000000" w:themeColor="text1"/>
        </w:rPr>
        <w:t xml:space="preserve"> </w:t>
      </w:r>
    </w:p>
    <w:p w14:paraId="45EB018F" w14:textId="77777777" w:rsidR="00732FA2" w:rsidRPr="00EB06AD" w:rsidRDefault="00732FA2" w:rsidP="00640F8C">
      <w:pPr>
        <w:autoSpaceDE w:val="0"/>
        <w:autoSpaceDN w:val="0"/>
        <w:adjustRightInd w:val="0"/>
        <w:spacing w:after="0" w:line="240" w:lineRule="auto"/>
        <w:ind w:right="-24"/>
        <w:jc w:val="both"/>
        <w:rPr>
          <w:rFonts w:eastAsia="Calibri" w:cs="Arial"/>
          <w:color w:val="000000"/>
          <w:szCs w:val="24"/>
        </w:rPr>
      </w:pPr>
    </w:p>
    <w:p w14:paraId="6672A8D2" w14:textId="3AB15413" w:rsidR="00B956D1" w:rsidRPr="00B956D1" w:rsidRDefault="00EE4778" w:rsidP="0013417D">
      <w:pPr>
        <w:autoSpaceDE w:val="0"/>
        <w:autoSpaceDN w:val="0"/>
        <w:adjustRightInd w:val="0"/>
        <w:spacing w:after="0" w:line="240" w:lineRule="auto"/>
        <w:ind w:right="-24"/>
        <w:jc w:val="both"/>
        <w:rPr>
          <w:rFonts w:cs="Arial"/>
          <w:b/>
          <w:i/>
          <w:iCs/>
          <w:szCs w:val="24"/>
          <w:u w:val="single"/>
        </w:rPr>
      </w:pPr>
      <w:r w:rsidRPr="00EB06AD">
        <w:rPr>
          <w:rFonts w:cs="Arial"/>
          <w:b/>
          <w:i/>
          <w:iCs/>
          <w:szCs w:val="24"/>
          <w:u w:val="single"/>
        </w:rPr>
        <w:t xml:space="preserve">Table </w:t>
      </w:r>
      <w:r w:rsidR="00490DCC">
        <w:rPr>
          <w:rFonts w:cs="Arial"/>
          <w:b/>
          <w:i/>
          <w:iCs/>
          <w:szCs w:val="24"/>
          <w:u w:val="single"/>
        </w:rPr>
        <w:t>8</w:t>
      </w:r>
    </w:p>
    <w:p w14:paraId="3E1B66FF" w14:textId="77777777" w:rsidR="00403F7E" w:rsidRPr="008B4A55" w:rsidRDefault="00403F7E" w:rsidP="00640F8C">
      <w:pPr>
        <w:spacing w:after="0"/>
        <w:ind w:left="720" w:hanging="720"/>
        <w:jc w:val="both"/>
        <w:rPr>
          <w:rFonts w:cs="Arial"/>
          <w:b/>
          <w:szCs w:val="24"/>
          <w:highlight w:val="yellow"/>
          <w:u w:val="single"/>
        </w:rPr>
      </w:pPr>
    </w:p>
    <w:tbl>
      <w:tblPr>
        <w:tblW w:w="9791" w:type="dxa"/>
        <w:tblLayout w:type="fixed"/>
        <w:tblLook w:val="04A0" w:firstRow="1" w:lastRow="0" w:firstColumn="1" w:lastColumn="0" w:noHBand="0" w:noVBand="1"/>
      </w:tblPr>
      <w:tblGrid>
        <w:gridCol w:w="1637"/>
        <w:gridCol w:w="1164"/>
        <w:gridCol w:w="1165"/>
        <w:gridCol w:w="1165"/>
        <w:gridCol w:w="1165"/>
        <w:gridCol w:w="1165"/>
        <w:gridCol w:w="1165"/>
        <w:gridCol w:w="1165"/>
      </w:tblGrid>
      <w:tr w:rsidR="00EA4AC4" w:rsidRPr="00756ED0" w14:paraId="58457C63" w14:textId="77777777" w:rsidTr="00EA4AC4">
        <w:trPr>
          <w:trHeight w:val="1046"/>
        </w:trPr>
        <w:tc>
          <w:tcPr>
            <w:tcW w:w="1637"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7AFA1B76"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Reserve Name</w:t>
            </w:r>
          </w:p>
        </w:tc>
        <w:tc>
          <w:tcPr>
            <w:tcW w:w="1164" w:type="dxa"/>
            <w:tcBorders>
              <w:top w:val="single" w:sz="8" w:space="0" w:color="auto"/>
              <w:left w:val="nil"/>
              <w:bottom w:val="single" w:sz="4" w:space="0" w:color="auto"/>
              <w:right w:val="single" w:sz="4" w:space="0" w:color="auto"/>
            </w:tcBorders>
            <w:shd w:val="clear" w:color="000000" w:fill="BFBFBF"/>
            <w:vAlign w:val="center"/>
            <w:hideMark/>
          </w:tcPr>
          <w:p w14:paraId="67FC89C2"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Opening balance 2022/23</w:t>
            </w:r>
          </w:p>
        </w:tc>
        <w:tc>
          <w:tcPr>
            <w:tcW w:w="1165" w:type="dxa"/>
            <w:tcBorders>
              <w:top w:val="single" w:sz="8" w:space="0" w:color="auto"/>
              <w:left w:val="nil"/>
              <w:bottom w:val="single" w:sz="4" w:space="0" w:color="auto"/>
              <w:right w:val="single" w:sz="4" w:space="0" w:color="auto"/>
            </w:tcBorders>
            <w:shd w:val="clear" w:color="000000" w:fill="BFBFBF"/>
            <w:vAlign w:val="center"/>
            <w:hideMark/>
          </w:tcPr>
          <w:p w14:paraId="5E3DB61C"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 xml:space="preserve"> 2022/23 Expenditure</w:t>
            </w:r>
          </w:p>
        </w:tc>
        <w:tc>
          <w:tcPr>
            <w:tcW w:w="1165" w:type="dxa"/>
            <w:tcBorders>
              <w:top w:val="single" w:sz="8" w:space="0" w:color="auto"/>
              <w:left w:val="nil"/>
              <w:bottom w:val="single" w:sz="4" w:space="0" w:color="auto"/>
              <w:right w:val="single" w:sz="4" w:space="0" w:color="auto"/>
            </w:tcBorders>
            <w:shd w:val="clear" w:color="000000" w:fill="BFBFBF"/>
            <w:vAlign w:val="center"/>
            <w:hideMark/>
          </w:tcPr>
          <w:p w14:paraId="008039D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2022/23 Closing Balance</w:t>
            </w:r>
          </w:p>
        </w:tc>
        <w:tc>
          <w:tcPr>
            <w:tcW w:w="1165" w:type="dxa"/>
            <w:tcBorders>
              <w:top w:val="single" w:sz="8" w:space="0" w:color="auto"/>
              <w:left w:val="nil"/>
              <w:bottom w:val="single" w:sz="4" w:space="0" w:color="auto"/>
              <w:right w:val="single" w:sz="4" w:space="0" w:color="auto"/>
            </w:tcBorders>
            <w:shd w:val="clear" w:color="000000" w:fill="BFBFBF"/>
            <w:vAlign w:val="center"/>
            <w:hideMark/>
          </w:tcPr>
          <w:p w14:paraId="52370B79"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2023/24 Forecast Exp</w:t>
            </w:r>
          </w:p>
        </w:tc>
        <w:tc>
          <w:tcPr>
            <w:tcW w:w="1165" w:type="dxa"/>
            <w:tcBorders>
              <w:top w:val="single" w:sz="8" w:space="0" w:color="auto"/>
              <w:left w:val="nil"/>
              <w:bottom w:val="single" w:sz="4" w:space="0" w:color="auto"/>
              <w:right w:val="single" w:sz="4" w:space="0" w:color="auto"/>
            </w:tcBorders>
            <w:shd w:val="clear" w:color="000000" w:fill="BFBFBF"/>
            <w:vAlign w:val="center"/>
            <w:hideMark/>
          </w:tcPr>
          <w:p w14:paraId="24C0072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2024/25 Forecast Exp</w:t>
            </w:r>
          </w:p>
        </w:tc>
        <w:tc>
          <w:tcPr>
            <w:tcW w:w="1165" w:type="dxa"/>
            <w:tcBorders>
              <w:top w:val="single" w:sz="8" w:space="0" w:color="auto"/>
              <w:left w:val="nil"/>
              <w:bottom w:val="single" w:sz="4" w:space="0" w:color="auto"/>
              <w:right w:val="single" w:sz="4" w:space="0" w:color="auto"/>
            </w:tcBorders>
            <w:shd w:val="clear" w:color="000000" w:fill="BFBFBF"/>
            <w:vAlign w:val="center"/>
            <w:hideMark/>
          </w:tcPr>
          <w:p w14:paraId="75DF8BE7"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2025/26 Forecast Exp</w:t>
            </w:r>
          </w:p>
        </w:tc>
        <w:tc>
          <w:tcPr>
            <w:tcW w:w="1165" w:type="dxa"/>
            <w:tcBorders>
              <w:top w:val="single" w:sz="8" w:space="0" w:color="auto"/>
              <w:left w:val="nil"/>
              <w:bottom w:val="single" w:sz="4" w:space="0" w:color="auto"/>
              <w:right w:val="single" w:sz="8" w:space="0" w:color="auto"/>
            </w:tcBorders>
            <w:shd w:val="clear" w:color="000000" w:fill="BFBFBF"/>
            <w:vAlign w:val="center"/>
            <w:hideMark/>
          </w:tcPr>
          <w:p w14:paraId="1C071F39"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Forecast closing balance 31 March 2026</w:t>
            </w:r>
          </w:p>
        </w:tc>
      </w:tr>
      <w:tr w:rsidR="00EA4AC4" w:rsidRPr="00756ED0" w14:paraId="7828F25A" w14:textId="77777777" w:rsidTr="00EA4AC4">
        <w:trPr>
          <w:trHeight w:val="222"/>
        </w:trPr>
        <w:tc>
          <w:tcPr>
            <w:tcW w:w="1637" w:type="dxa"/>
            <w:tcBorders>
              <w:top w:val="nil"/>
              <w:left w:val="single" w:sz="8" w:space="0" w:color="auto"/>
              <w:bottom w:val="single" w:sz="4" w:space="0" w:color="auto"/>
              <w:right w:val="single" w:sz="4" w:space="0" w:color="auto"/>
            </w:tcBorders>
            <w:shd w:val="clear" w:color="000000" w:fill="BFBFBF"/>
            <w:vAlign w:val="bottom"/>
            <w:hideMark/>
          </w:tcPr>
          <w:p w14:paraId="7CC1C205" w14:textId="77777777" w:rsidR="00EA4AC4" w:rsidRPr="00756ED0" w:rsidRDefault="00EA4AC4">
            <w:pPr>
              <w:spacing w:after="0"/>
              <w:rPr>
                <w:rFonts w:cs="Arial"/>
                <w:sz w:val="20"/>
                <w:szCs w:val="20"/>
                <w:lang w:eastAsia="en-GB"/>
              </w:rPr>
            </w:pPr>
            <w:r w:rsidRPr="00756ED0">
              <w:rPr>
                <w:rFonts w:cs="Arial"/>
                <w:sz w:val="20"/>
                <w:szCs w:val="20"/>
                <w:lang w:eastAsia="en-GB"/>
              </w:rPr>
              <w:t> </w:t>
            </w:r>
          </w:p>
        </w:tc>
        <w:tc>
          <w:tcPr>
            <w:tcW w:w="1164" w:type="dxa"/>
            <w:tcBorders>
              <w:top w:val="nil"/>
              <w:left w:val="nil"/>
              <w:bottom w:val="single" w:sz="4" w:space="0" w:color="auto"/>
              <w:right w:val="single" w:sz="4" w:space="0" w:color="auto"/>
            </w:tcBorders>
            <w:shd w:val="clear" w:color="000000" w:fill="BFBFBF"/>
            <w:noWrap/>
            <w:vAlign w:val="bottom"/>
            <w:hideMark/>
          </w:tcPr>
          <w:p w14:paraId="303D34C6"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4" w:space="0" w:color="auto"/>
            </w:tcBorders>
            <w:shd w:val="clear" w:color="000000" w:fill="BFBFBF"/>
            <w:noWrap/>
            <w:vAlign w:val="center"/>
            <w:hideMark/>
          </w:tcPr>
          <w:p w14:paraId="371E6C9E"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4" w:space="0" w:color="auto"/>
            </w:tcBorders>
            <w:shd w:val="clear" w:color="000000" w:fill="BFBFBF"/>
            <w:noWrap/>
            <w:vAlign w:val="bottom"/>
            <w:hideMark/>
          </w:tcPr>
          <w:p w14:paraId="2539B75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4" w:space="0" w:color="auto"/>
            </w:tcBorders>
            <w:shd w:val="clear" w:color="000000" w:fill="BFBFBF"/>
            <w:noWrap/>
            <w:vAlign w:val="bottom"/>
            <w:hideMark/>
          </w:tcPr>
          <w:p w14:paraId="323AC165"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4" w:space="0" w:color="auto"/>
            </w:tcBorders>
            <w:shd w:val="clear" w:color="000000" w:fill="BFBFBF"/>
            <w:noWrap/>
            <w:vAlign w:val="bottom"/>
            <w:hideMark/>
          </w:tcPr>
          <w:p w14:paraId="131A1C28"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4" w:space="0" w:color="auto"/>
            </w:tcBorders>
            <w:shd w:val="clear" w:color="000000" w:fill="BFBFBF"/>
            <w:noWrap/>
            <w:vAlign w:val="bottom"/>
            <w:hideMark/>
          </w:tcPr>
          <w:p w14:paraId="6BB6E38D"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c>
          <w:tcPr>
            <w:tcW w:w="1165" w:type="dxa"/>
            <w:tcBorders>
              <w:top w:val="nil"/>
              <w:left w:val="nil"/>
              <w:bottom w:val="single" w:sz="4" w:space="0" w:color="auto"/>
              <w:right w:val="single" w:sz="8" w:space="0" w:color="auto"/>
            </w:tcBorders>
            <w:shd w:val="clear" w:color="000000" w:fill="BFBFBF"/>
            <w:noWrap/>
            <w:vAlign w:val="bottom"/>
            <w:hideMark/>
          </w:tcPr>
          <w:p w14:paraId="62447AD4"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£m</w:t>
            </w:r>
          </w:p>
        </w:tc>
      </w:tr>
      <w:tr w:rsidR="00EA4AC4" w:rsidRPr="00756ED0" w14:paraId="5DDED0C6"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55E650A5" w14:textId="77777777" w:rsidR="00EA4AC4" w:rsidRPr="00756ED0" w:rsidRDefault="00EA4AC4">
            <w:pPr>
              <w:spacing w:after="0"/>
              <w:rPr>
                <w:rFonts w:cs="Arial"/>
                <w:sz w:val="20"/>
                <w:szCs w:val="20"/>
                <w:lang w:eastAsia="en-GB"/>
              </w:rPr>
            </w:pPr>
            <w:r w:rsidRPr="00756ED0">
              <w:rPr>
                <w:rFonts w:cs="Arial"/>
                <w:sz w:val="20"/>
                <w:szCs w:val="20"/>
                <w:lang w:eastAsia="en-GB"/>
              </w:rPr>
              <w:t>County Fund</w:t>
            </w:r>
          </w:p>
        </w:tc>
        <w:tc>
          <w:tcPr>
            <w:tcW w:w="1164" w:type="dxa"/>
            <w:tcBorders>
              <w:top w:val="nil"/>
              <w:left w:val="nil"/>
              <w:bottom w:val="single" w:sz="4" w:space="0" w:color="auto"/>
              <w:right w:val="single" w:sz="4" w:space="0" w:color="auto"/>
            </w:tcBorders>
            <w:shd w:val="clear" w:color="auto" w:fill="auto"/>
            <w:noWrap/>
            <w:vAlign w:val="center"/>
            <w:hideMark/>
          </w:tcPr>
          <w:p w14:paraId="7FB09DC8"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-23.437</w:t>
            </w:r>
          </w:p>
        </w:tc>
        <w:tc>
          <w:tcPr>
            <w:tcW w:w="1165" w:type="dxa"/>
            <w:tcBorders>
              <w:top w:val="nil"/>
              <w:left w:val="nil"/>
              <w:bottom w:val="single" w:sz="4" w:space="0" w:color="auto"/>
              <w:right w:val="single" w:sz="4" w:space="0" w:color="auto"/>
            </w:tcBorders>
            <w:shd w:val="clear" w:color="auto" w:fill="auto"/>
            <w:noWrap/>
            <w:vAlign w:val="center"/>
            <w:hideMark/>
          </w:tcPr>
          <w:p w14:paraId="35A20BAD"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000000" w:fill="BFBFBF"/>
            <w:noWrap/>
            <w:vAlign w:val="center"/>
            <w:hideMark/>
          </w:tcPr>
          <w:p w14:paraId="24A6B5CE"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-23.437</w:t>
            </w:r>
          </w:p>
        </w:tc>
        <w:tc>
          <w:tcPr>
            <w:tcW w:w="1165" w:type="dxa"/>
            <w:tcBorders>
              <w:top w:val="nil"/>
              <w:left w:val="nil"/>
              <w:bottom w:val="single" w:sz="4" w:space="0" w:color="auto"/>
              <w:right w:val="single" w:sz="4" w:space="0" w:color="auto"/>
            </w:tcBorders>
            <w:shd w:val="clear" w:color="auto" w:fill="auto"/>
            <w:noWrap/>
            <w:vAlign w:val="center"/>
            <w:hideMark/>
          </w:tcPr>
          <w:p w14:paraId="2A995E07"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auto" w:fill="auto"/>
            <w:noWrap/>
            <w:vAlign w:val="center"/>
            <w:hideMark/>
          </w:tcPr>
          <w:p w14:paraId="58B9033D"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auto" w:fill="auto"/>
            <w:noWrap/>
            <w:vAlign w:val="center"/>
            <w:hideMark/>
          </w:tcPr>
          <w:p w14:paraId="4CBE2D0D"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36D3292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-23.437</w:t>
            </w:r>
          </w:p>
        </w:tc>
      </w:tr>
      <w:tr w:rsidR="00EA4AC4" w:rsidRPr="00756ED0" w14:paraId="5D08F310" w14:textId="77777777" w:rsidTr="00EA4AC4">
        <w:trPr>
          <w:trHeight w:val="559"/>
        </w:trPr>
        <w:tc>
          <w:tcPr>
            <w:tcW w:w="1637" w:type="dxa"/>
            <w:tcBorders>
              <w:top w:val="nil"/>
              <w:left w:val="single" w:sz="8" w:space="0" w:color="auto"/>
              <w:bottom w:val="single" w:sz="8" w:space="0" w:color="auto"/>
              <w:right w:val="single" w:sz="4" w:space="0" w:color="auto"/>
            </w:tcBorders>
            <w:shd w:val="clear" w:color="000000" w:fill="BFBFBF"/>
            <w:vAlign w:val="center"/>
            <w:hideMark/>
          </w:tcPr>
          <w:p w14:paraId="47FC35B0" w14:textId="77777777" w:rsidR="00EA4AC4" w:rsidRPr="00756ED0" w:rsidRDefault="00EA4AC4">
            <w:pPr>
              <w:spacing w:after="0"/>
              <w:rPr>
                <w:rFonts w:cs="Arial"/>
                <w:b/>
                <w:bCs/>
                <w:sz w:val="20"/>
                <w:szCs w:val="20"/>
                <w:lang w:eastAsia="en-GB"/>
              </w:rPr>
            </w:pPr>
            <w:r w:rsidRPr="00756ED0">
              <w:rPr>
                <w:rFonts w:cs="Arial"/>
                <w:b/>
                <w:bCs/>
                <w:sz w:val="20"/>
                <w:szCs w:val="20"/>
                <w:lang w:eastAsia="en-GB"/>
              </w:rPr>
              <w:t>SUB TOTAL - COUNTY FUND</w:t>
            </w:r>
          </w:p>
        </w:tc>
        <w:tc>
          <w:tcPr>
            <w:tcW w:w="1164" w:type="dxa"/>
            <w:tcBorders>
              <w:top w:val="nil"/>
              <w:left w:val="nil"/>
              <w:bottom w:val="single" w:sz="8" w:space="0" w:color="auto"/>
              <w:right w:val="single" w:sz="4" w:space="0" w:color="auto"/>
            </w:tcBorders>
            <w:shd w:val="clear" w:color="000000" w:fill="BFBFBF"/>
            <w:noWrap/>
            <w:vAlign w:val="center"/>
            <w:hideMark/>
          </w:tcPr>
          <w:p w14:paraId="31A48126"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-23.437</w:t>
            </w:r>
          </w:p>
        </w:tc>
        <w:tc>
          <w:tcPr>
            <w:tcW w:w="1165" w:type="dxa"/>
            <w:tcBorders>
              <w:top w:val="nil"/>
              <w:left w:val="nil"/>
              <w:bottom w:val="single" w:sz="8" w:space="0" w:color="auto"/>
              <w:right w:val="single" w:sz="4" w:space="0" w:color="auto"/>
            </w:tcBorders>
            <w:shd w:val="clear" w:color="000000" w:fill="BFBFBF"/>
            <w:noWrap/>
            <w:vAlign w:val="center"/>
            <w:hideMark/>
          </w:tcPr>
          <w:p w14:paraId="0EFB4AF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0.000</w:t>
            </w:r>
          </w:p>
        </w:tc>
        <w:tc>
          <w:tcPr>
            <w:tcW w:w="1165" w:type="dxa"/>
            <w:tcBorders>
              <w:top w:val="nil"/>
              <w:left w:val="nil"/>
              <w:bottom w:val="single" w:sz="8" w:space="0" w:color="auto"/>
              <w:right w:val="single" w:sz="4" w:space="0" w:color="auto"/>
            </w:tcBorders>
            <w:shd w:val="clear" w:color="000000" w:fill="BFBFBF"/>
            <w:noWrap/>
            <w:vAlign w:val="center"/>
            <w:hideMark/>
          </w:tcPr>
          <w:p w14:paraId="597806D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-23.437</w:t>
            </w:r>
          </w:p>
        </w:tc>
        <w:tc>
          <w:tcPr>
            <w:tcW w:w="1165" w:type="dxa"/>
            <w:tcBorders>
              <w:top w:val="nil"/>
              <w:left w:val="nil"/>
              <w:bottom w:val="single" w:sz="8" w:space="0" w:color="auto"/>
              <w:right w:val="single" w:sz="4" w:space="0" w:color="auto"/>
            </w:tcBorders>
            <w:shd w:val="clear" w:color="000000" w:fill="BFBFBF"/>
            <w:noWrap/>
            <w:vAlign w:val="center"/>
            <w:hideMark/>
          </w:tcPr>
          <w:p w14:paraId="6CAABAB8"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0.000</w:t>
            </w:r>
          </w:p>
        </w:tc>
        <w:tc>
          <w:tcPr>
            <w:tcW w:w="1165" w:type="dxa"/>
            <w:tcBorders>
              <w:top w:val="nil"/>
              <w:left w:val="nil"/>
              <w:bottom w:val="single" w:sz="8" w:space="0" w:color="auto"/>
              <w:right w:val="single" w:sz="4" w:space="0" w:color="auto"/>
            </w:tcBorders>
            <w:shd w:val="clear" w:color="000000" w:fill="BFBFBF"/>
            <w:noWrap/>
            <w:vAlign w:val="center"/>
            <w:hideMark/>
          </w:tcPr>
          <w:p w14:paraId="6CCA1E86"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0.000</w:t>
            </w:r>
          </w:p>
        </w:tc>
        <w:tc>
          <w:tcPr>
            <w:tcW w:w="1165" w:type="dxa"/>
            <w:tcBorders>
              <w:top w:val="nil"/>
              <w:left w:val="nil"/>
              <w:bottom w:val="nil"/>
              <w:right w:val="single" w:sz="4" w:space="0" w:color="auto"/>
            </w:tcBorders>
            <w:shd w:val="clear" w:color="000000" w:fill="BFBFBF"/>
            <w:noWrap/>
            <w:vAlign w:val="center"/>
            <w:hideMark/>
          </w:tcPr>
          <w:p w14:paraId="2101FA49"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0.000</w:t>
            </w:r>
          </w:p>
        </w:tc>
        <w:tc>
          <w:tcPr>
            <w:tcW w:w="1165" w:type="dxa"/>
            <w:tcBorders>
              <w:top w:val="nil"/>
              <w:left w:val="nil"/>
              <w:bottom w:val="nil"/>
              <w:right w:val="single" w:sz="8" w:space="0" w:color="auto"/>
            </w:tcBorders>
            <w:shd w:val="clear" w:color="000000" w:fill="BFBFBF"/>
            <w:noWrap/>
            <w:vAlign w:val="center"/>
            <w:hideMark/>
          </w:tcPr>
          <w:p w14:paraId="63EB82E2"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-23.437</w:t>
            </w:r>
          </w:p>
        </w:tc>
      </w:tr>
      <w:tr w:rsidR="00EA4AC4" w:rsidRPr="00756ED0" w14:paraId="08226A5B"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3B619A49" w14:textId="77777777" w:rsidR="00EA4AC4" w:rsidRPr="00756ED0" w:rsidRDefault="00EA4AC4">
            <w:pPr>
              <w:spacing w:after="0"/>
              <w:rPr>
                <w:rFonts w:cs="Arial"/>
                <w:sz w:val="20"/>
                <w:szCs w:val="20"/>
                <w:lang w:eastAsia="en-GB"/>
              </w:rPr>
            </w:pPr>
            <w:r w:rsidRPr="00756ED0">
              <w:rPr>
                <w:rFonts w:cs="Arial"/>
                <w:sz w:val="20"/>
                <w:szCs w:val="20"/>
                <w:lang w:eastAsia="en-GB"/>
              </w:rPr>
              <w:t>Strategic Investment Reserve</w:t>
            </w:r>
          </w:p>
        </w:tc>
        <w:tc>
          <w:tcPr>
            <w:tcW w:w="1164" w:type="dxa"/>
            <w:tcBorders>
              <w:top w:val="nil"/>
              <w:left w:val="nil"/>
              <w:bottom w:val="single" w:sz="4" w:space="0" w:color="auto"/>
              <w:right w:val="single" w:sz="4" w:space="0" w:color="auto"/>
            </w:tcBorders>
            <w:shd w:val="clear" w:color="auto" w:fill="auto"/>
            <w:noWrap/>
            <w:vAlign w:val="center"/>
            <w:hideMark/>
          </w:tcPr>
          <w:p w14:paraId="2A68A475" w14:textId="77777777" w:rsidR="00EA4AC4" w:rsidRPr="00756ED0" w:rsidRDefault="00EA4AC4">
            <w:pPr>
              <w:spacing w:after="0"/>
              <w:jc w:val="center"/>
              <w:rPr>
                <w:rFonts w:cs="Arial"/>
                <w:sz w:val="20"/>
                <w:szCs w:val="20"/>
                <w:lang w:eastAsia="en-GB"/>
              </w:rPr>
            </w:pPr>
            <w:r w:rsidRPr="00756ED0">
              <w:rPr>
                <w:rFonts w:cs="Arial"/>
                <w:sz w:val="20"/>
                <w:szCs w:val="20"/>
                <w:lang w:eastAsia="en-GB"/>
              </w:rPr>
              <w:t>-4.192</w:t>
            </w:r>
          </w:p>
        </w:tc>
        <w:tc>
          <w:tcPr>
            <w:tcW w:w="1165" w:type="dxa"/>
            <w:tcBorders>
              <w:top w:val="nil"/>
              <w:left w:val="nil"/>
              <w:bottom w:val="single" w:sz="4" w:space="0" w:color="auto"/>
              <w:right w:val="single" w:sz="4" w:space="0" w:color="auto"/>
            </w:tcBorders>
            <w:shd w:val="clear" w:color="auto" w:fill="auto"/>
            <w:noWrap/>
            <w:vAlign w:val="center"/>
            <w:hideMark/>
          </w:tcPr>
          <w:p w14:paraId="0B79F05A"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0.244</w:t>
            </w:r>
          </w:p>
        </w:tc>
        <w:tc>
          <w:tcPr>
            <w:tcW w:w="1165" w:type="dxa"/>
            <w:tcBorders>
              <w:top w:val="single" w:sz="4" w:space="0" w:color="auto"/>
              <w:left w:val="nil"/>
              <w:bottom w:val="single" w:sz="4" w:space="0" w:color="auto"/>
              <w:right w:val="single" w:sz="4" w:space="0" w:color="auto"/>
            </w:tcBorders>
            <w:shd w:val="clear" w:color="000000" w:fill="BFBFBF"/>
            <w:noWrap/>
            <w:vAlign w:val="center"/>
            <w:hideMark/>
          </w:tcPr>
          <w:p w14:paraId="600669FC"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-3.948</w:t>
            </w:r>
          </w:p>
        </w:tc>
        <w:tc>
          <w:tcPr>
            <w:tcW w:w="1165" w:type="dxa"/>
            <w:tcBorders>
              <w:top w:val="nil"/>
              <w:left w:val="nil"/>
              <w:bottom w:val="single" w:sz="4" w:space="0" w:color="auto"/>
              <w:right w:val="single" w:sz="4" w:space="0" w:color="auto"/>
            </w:tcBorders>
            <w:shd w:val="clear" w:color="auto" w:fill="auto"/>
            <w:noWrap/>
            <w:vAlign w:val="center"/>
            <w:hideMark/>
          </w:tcPr>
          <w:p w14:paraId="711CD8B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0.473</w:t>
            </w:r>
          </w:p>
        </w:tc>
        <w:tc>
          <w:tcPr>
            <w:tcW w:w="1165" w:type="dxa"/>
            <w:tcBorders>
              <w:top w:val="nil"/>
              <w:left w:val="nil"/>
              <w:bottom w:val="single" w:sz="4" w:space="0" w:color="auto"/>
              <w:right w:val="single" w:sz="4" w:space="0" w:color="auto"/>
            </w:tcBorders>
            <w:shd w:val="clear" w:color="auto" w:fill="auto"/>
            <w:noWrap/>
            <w:vAlign w:val="center"/>
            <w:hideMark/>
          </w:tcPr>
          <w:p w14:paraId="7AB2BB18"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0.047</w:t>
            </w:r>
          </w:p>
        </w:tc>
        <w:tc>
          <w:tcPr>
            <w:tcW w:w="1165" w:type="dxa"/>
            <w:tcBorders>
              <w:top w:val="single" w:sz="8" w:space="0" w:color="auto"/>
              <w:left w:val="nil"/>
              <w:bottom w:val="single" w:sz="4" w:space="0" w:color="auto"/>
              <w:right w:val="single" w:sz="4" w:space="0" w:color="auto"/>
            </w:tcBorders>
            <w:shd w:val="clear" w:color="auto" w:fill="auto"/>
            <w:noWrap/>
            <w:vAlign w:val="center"/>
            <w:hideMark/>
          </w:tcPr>
          <w:p w14:paraId="35C0870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single" w:sz="8" w:space="0" w:color="auto"/>
              <w:left w:val="nil"/>
              <w:bottom w:val="single" w:sz="4" w:space="0" w:color="auto"/>
              <w:right w:val="single" w:sz="8" w:space="0" w:color="auto"/>
            </w:tcBorders>
            <w:shd w:val="clear" w:color="000000" w:fill="BFBFBF"/>
            <w:noWrap/>
            <w:vAlign w:val="center"/>
            <w:hideMark/>
          </w:tcPr>
          <w:p w14:paraId="3608BC0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-3.428</w:t>
            </w:r>
          </w:p>
        </w:tc>
      </w:tr>
      <w:tr w:rsidR="00EA4AC4" w:rsidRPr="00756ED0" w14:paraId="6A107465"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2B56EAAB" w14:textId="77777777" w:rsidR="00EA4AC4" w:rsidRPr="00756ED0" w:rsidRDefault="00EA4AC4">
            <w:pPr>
              <w:spacing w:after="0"/>
              <w:rPr>
                <w:rFonts w:cs="Arial"/>
                <w:sz w:val="20"/>
                <w:szCs w:val="20"/>
                <w:lang w:eastAsia="en-GB"/>
              </w:rPr>
            </w:pPr>
            <w:r w:rsidRPr="00756ED0">
              <w:rPr>
                <w:rFonts w:cs="Arial"/>
                <w:sz w:val="20"/>
                <w:szCs w:val="20"/>
                <w:lang w:eastAsia="en-GB"/>
              </w:rPr>
              <w:t>COVID-19 Reserve</w:t>
            </w:r>
          </w:p>
        </w:tc>
        <w:tc>
          <w:tcPr>
            <w:tcW w:w="1164" w:type="dxa"/>
            <w:tcBorders>
              <w:top w:val="nil"/>
              <w:left w:val="nil"/>
              <w:bottom w:val="single" w:sz="4" w:space="0" w:color="auto"/>
              <w:right w:val="single" w:sz="4" w:space="0" w:color="auto"/>
            </w:tcBorders>
            <w:shd w:val="clear" w:color="auto" w:fill="auto"/>
            <w:noWrap/>
            <w:vAlign w:val="center"/>
            <w:hideMark/>
          </w:tcPr>
          <w:p w14:paraId="40757225"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-11.048</w:t>
            </w:r>
          </w:p>
        </w:tc>
        <w:tc>
          <w:tcPr>
            <w:tcW w:w="1165" w:type="dxa"/>
            <w:tcBorders>
              <w:top w:val="nil"/>
              <w:left w:val="nil"/>
              <w:bottom w:val="single" w:sz="4" w:space="0" w:color="auto"/>
              <w:right w:val="single" w:sz="4" w:space="0" w:color="auto"/>
            </w:tcBorders>
            <w:shd w:val="clear" w:color="auto" w:fill="auto"/>
            <w:noWrap/>
            <w:vAlign w:val="center"/>
            <w:hideMark/>
          </w:tcPr>
          <w:p w14:paraId="74A8CEFA"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5.145</w:t>
            </w:r>
          </w:p>
        </w:tc>
        <w:tc>
          <w:tcPr>
            <w:tcW w:w="1165" w:type="dxa"/>
            <w:tcBorders>
              <w:top w:val="nil"/>
              <w:left w:val="nil"/>
              <w:bottom w:val="single" w:sz="4" w:space="0" w:color="auto"/>
              <w:right w:val="single" w:sz="4" w:space="0" w:color="auto"/>
            </w:tcBorders>
            <w:shd w:val="clear" w:color="000000" w:fill="BFBFBF"/>
            <w:noWrap/>
            <w:vAlign w:val="center"/>
            <w:hideMark/>
          </w:tcPr>
          <w:p w14:paraId="0B194F5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-5.903</w:t>
            </w:r>
          </w:p>
        </w:tc>
        <w:tc>
          <w:tcPr>
            <w:tcW w:w="1165" w:type="dxa"/>
            <w:tcBorders>
              <w:top w:val="nil"/>
              <w:left w:val="nil"/>
              <w:bottom w:val="single" w:sz="4" w:space="0" w:color="auto"/>
              <w:right w:val="single" w:sz="4" w:space="0" w:color="auto"/>
            </w:tcBorders>
            <w:shd w:val="clear" w:color="auto" w:fill="auto"/>
            <w:noWrap/>
            <w:vAlign w:val="center"/>
            <w:hideMark/>
          </w:tcPr>
          <w:p w14:paraId="6505CCFE"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2.185</w:t>
            </w:r>
          </w:p>
        </w:tc>
        <w:tc>
          <w:tcPr>
            <w:tcW w:w="1165" w:type="dxa"/>
            <w:tcBorders>
              <w:top w:val="nil"/>
              <w:left w:val="nil"/>
              <w:bottom w:val="single" w:sz="4" w:space="0" w:color="auto"/>
              <w:right w:val="single" w:sz="4" w:space="0" w:color="auto"/>
            </w:tcBorders>
            <w:shd w:val="clear" w:color="auto" w:fill="auto"/>
            <w:noWrap/>
            <w:vAlign w:val="center"/>
            <w:hideMark/>
          </w:tcPr>
          <w:p w14:paraId="2A9606F0"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0.626</w:t>
            </w:r>
          </w:p>
        </w:tc>
        <w:tc>
          <w:tcPr>
            <w:tcW w:w="1165" w:type="dxa"/>
            <w:tcBorders>
              <w:top w:val="nil"/>
              <w:left w:val="nil"/>
              <w:bottom w:val="single" w:sz="4" w:space="0" w:color="auto"/>
              <w:right w:val="single" w:sz="4" w:space="0" w:color="auto"/>
            </w:tcBorders>
            <w:shd w:val="clear" w:color="auto" w:fill="auto"/>
            <w:noWrap/>
            <w:vAlign w:val="center"/>
            <w:hideMark/>
          </w:tcPr>
          <w:p w14:paraId="5894F6C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0.913</w:t>
            </w:r>
          </w:p>
        </w:tc>
        <w:tc>
          <w:tcPr>
            <w:tcW w:w="1165" w:type="dxa"/>
            <w:tcBorders>
              <w:top w:val="nil"/>
              <w:left w:val="nil"/>
              <w:bottom w:val="single" w:sz="4" w:space="0" w:color="auto"/>
              <w:right w:val="single" w:sz="8" w:space="0" w:color="auto"/>
            </w:tcBorders>
            <w:shd w:val="clear" w:color="000000" w:fill="BFBFBF"/>
            <w:noWrap/>
            <w:vAlign w:val="center"/>
            <w:hideMark/>
          </w:tcPr>
          <w:p w14:paraId="65CC4F70"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-2.179</w:t>
            </w:r>
          </w:p>
        </w:tc>
      </w:tr>
      <w:tr w:rsidR="00EA4AC4" w:rsidRPr="00756ED0" w14:paraId="2FF0BD5B"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144E386F" w14:textId="77777777" w:rsidR="00EA4AC4" w:rsidRPr="00756ED0" w:rsidRDefault="00EA4AC4">
            <w:pPr>
              <w:spacing w:after="0"/>
              <w:rPr>
                <w:rFonts w:cs="Arial"/>
                <w:sz w:val="20"/>
                <w:szCs w:val="20"/>
                <w:lang w:eastAsia="en-GB"/>
              </w:rPr>
            </w:pPr>
            <w:r w:rsidRPr="00756ED0">
              <w:rPr>
                <w:rFonts w:cs="Arial"/>
                <w:sz w:val="20"/>
                <w:szCs w:val="20"/>
                <w:lang w:eastAsia="en-GB"/>
              </w:rPr>
              <w:t>Downsizing Reserve</w:t>
            </w:r>
          </w:p>
        </w:tc>
        <w:tc>
          <w:tcPr>
            <w:tcW w:w="1164" w:type="dxa"/>
            <w:tcBorders>
              <w:top w:val="nil"/>
              <w:left w:val="nil"/>
              <w:bottom w:val="single" w:sz="4" w:space="0" w:color="auto"/>
              <w:right w:val="single" w:sz="4" w:space="0" w:color="auto"/>
            </w:tcBorders>
            <w:shd w:val="clear" w:color="auto" w:fill="auto"/>
            <w:noWrap/>
            <w:vAlign w:val="center"/>
            <w:hideMark/>
          </w:tcPr>
          <w:p w14:paraId="17D7C9D3"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-5.454</w:t>
            </w:r>
          </w:p>
        </w:tc>
        <w:tc>
          <w:tcPr>
            <w:tcW w:w="1165" w:type="dxa"/>
            <w:tcBorders>
              <w:top w:val="nil"/>
              <w:left w:val="nil"/>
              <w:bottom w:val="single" w:sz="4" w:space="0" w:color="auto"/>
              <w:right w:val="single" w:sz="4" w:space="0" w:color="auto"/>
            </w:tcBorders>
            <w:shd w:val="clear" w:color="auto" w:fill="auto"/>
            <w:noWrap/>
            <w:vAlign w:val="center"/>
            <w:hideMark/>
          </w:tcPr>
          <w:p w14:paraId="4C6672C7"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1.410</w:t>
            </w:r>
          </w:p>
        </w:tc>
        <w:tc>
          <w:tcPr>
            <w:tcW w:w="1165" w:type="dxa"/>
            <w:tcBorders>
              <w:top w:val="nil"/>
              <w:left w:val="nil"/>
              <w:bottom w:val="single" w:sz="4" w:space="0" w:color="auto"/>
              <w:right w:val="single" w:sz="4" w:space="0" w:color="auto"/>
            </w:tcBorders>
            <w:shd w:val="clear" w:color="000000" w:fill="BFBFBF"/>
            <w:noWrap/>
            <w:vAlign w:val="center"/>
            <w:hideMark/>
          </w:tcPr>
          <w:p w14:paraId="114E0EF1" w14:textId="77777777" w:rsidR="00EA4AC4" w:rsidRPr="00756ED0" w:rsidRDefault="00EA4AC4">
            <w:pPr>
              <w:spacing w:after="0"/>
              <w:jc w:val="center"/>
              <w:rPr>
                <w:rFonts w:cs="Arial"/>
                <w:sz w:val="20"/>
                <w:szCs w:val="20"/>
                <w:lang w:eastAsia="en-GB"/>
              </w:rPr>
            </w:pPr>
            <w:r w:rsidRPr="00756ED0">
              <w:rPr>
                <w:rFonts w:cs="Arial"/>
                <w:sz w:val="20"/>
                <w:szCs w:val="20"/>
                <w:lang w:eastAsia="en-GB"/>
              </w:rPr>
              <w:t>-4.044</w:t>
            </w:r>
          </w:p>
        </w:tc>
        <w:tc>
          <w:tcPr>
            <w:tcW w:w="1165" w:type="dxa"/>
            <w:tcBorders>
              <w:top w:val="nil"/>
              <w:left w:val="nil"/>
              <w:bottom w:val="single" w:sz="4" w:space="0" w:color="auto"/>
              <w:right w:val="single" w:sz="4" w:space="0" w:color="auto"/>
            </w:tcBorders>
            <w:shd w:val="clear" w:color="auto" w:fill="auto"/>
            <w:noWrap/>
            <w:vAlign w:val="center"/>
            <w:hideMark/>
          </w:tcPr>
          <w:p w14:paraId="7A9FF46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2.022</w:t>
            </w:r>
          </w:p>
        </w:tc>
        <w:tc>
          <w:tcPr>
            <w:tcW w:w="1165" w:type="dxa"/>
            <w:tcBorders>
              <w:top w:val="nil"/>
              <w:left w:val="nil"/>
              <w:bottom w:val="single" w:sz="4" w:space="0" w:color="auto"/>
              <w:right w:val="single" w:sz="4" w:space="0" w:color="auto"/>
            </w:tcBorders>
            <w:shd w:val="clear" w:color="auto" w:fill="auto"/>
            <w:noWrap/>
            <w:vAlign w:val="center"/>
            <w:hideMark/>
          </w:tcPr>
          <w:p w14:paraId="65715210"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2.022</w:t>
            </w:r>
          </w:p>
        </w:tc>
        <w:tc>
          <w:tcPr>
            <w:tcW w:w="1165" w:type="dxa"/>
            <w:tcBorders>
              <w:top w:val="nil"/>
              <w:left w:val="nil"/>
              <w:bottom w:val="single" w:sz="4" w:space="0" w:color="auto"/>
              <w:right w:val="single" w:sz="4" w:space="0" w:color="auto"/>
            </w:tcBorders>
            <w:shd w:val="clear" w:color="auto" w:fill="auto"/>
            <w:noWrap/>
            <w:vAlign w:val="center"/>
            <w:hideMark/>
          </w:tcPr>
          <w:p w14:paraId="476626E0"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34EE2AE7"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r>
      <w:tr w:rsidR="00EA4AC4" w:rsidRPr="00756ED0" w14:paraId="3D008F39"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419D12F1" w14:textId="77777777" w:rsidR="00EA4AC4" w:rsidRPr="00756ED0" w:rsidRDefault="00EA4AC4">
            <w:pPr>
              <w:spacing w:after="0"/>
              <w:rPr>
                <w:rFonts w:cs="Arial"/>
                <w:sz w:val="20"/>
                <w:szCs w:val="20"/>
                <w:lang w:eastAsia="en-GB"/>
              </w:rPr>
            </w:pPr>
            <w:r w:rsidRPr="00756ED0">
              <w:rPr>
                <w:rFonts w:cs="Arial"/>
                <w:sz w:val="20"/>
                <w:szCs w:val="20"/>
                <w:lang w:eastAsia="en-GB"/>
              </w:rPr>
              <w:t xml:space="preserve">Risk Management Reserve </w:t>
            </w:r>
          </w:p>
        </w:tc>
        <w:tc>
          <w:tcPr>
            <w:tcW w:w="1164" w:type="dxa"/>
            <w:tcBorders>
              <w:top w:val="nil"/>
              <w:left w:val="nil"/>
              <w:bottom w:val="single" w:sz="4" w:space="0" w:color="auto"/>
              <w:right w:val="single" w:sz="4" w:space="0" w:color="auto"/>
            </w:tcBorders>
            <w:shd w:val="clear" w:color="auto" w:fill="auto"/>
            <w:noWrap/>
            <w:vAlign w:val="center"/>
            <w:hideMark/>
          </w:tcPr>
          <w:p w14:paraId="41EC7AF2" w14:textId="77777777" w:rsidR="00EA4AC4" w:rsidRPr="00756ED0" w:rsidRDefault="00EA4AC4">
            <w:pPr>
              <w:spacing w:after="0"/>
              <w:jc w:val="center"/>
              <w:rPr>
                <w:rFonts w:cs="Arial"/>
                <w:sz w:val="20"/>
                <w:szCs w:val="20"/>
                <w:lang w:eastAsia="en-GB"/>
              </w:rPr>
            </w:pPr>
            <w:r w:rsidRPr="00756ED0">
              <w:rPr>
                <w:rFonts w:cs="Arial"/>
                <w:sz w:val="20"/>
                <w:szCs w:val="20"/>
                <w:lang w:eastAsia="en-GB"/>
              </w:rPr>
              <w:t>-4.276</w:t>
            </w:r>
          </w:p>
        </w:tc>
        <w:tc>
          <w:tcPr>
            <w:tcW w:w="1165" w:type="dxa"/>
            <w:tcBorders>
              <w:top w:val="nil"/>
              <w:left w:val="nil"/>
              <w:bottom w:val="single" w:sz="4" w:space="0" w:color="auto"/>
              <w:right w:val="single" w:sz="4" w:space="0" w:color="auto"/>
            </w:tcBorders>
            <w:shd w:val="clear" w:color="auto" w:fill="auto"/>
            <w:noWrap/>
            <w:vAlign w:val="center"/>
            <w:hideMark/>
          </w:tcPr>
          <w:p w14:paraId="28357620"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1.128</w:t>
            </w:r>
          </w:p>
        </w:tc>
        <w:tc>
          <w:tcPr>
            <w:tcW w:w="1165" w:type="dxa"/>
            <w:tcBorders>
              <w:top w:val="nil"/>
              <w:left w:val="nil"/>
              <w:bottom w:val="single" w:sz="4" w:space="0" w:color="auto"/>
              <w:right w:val="single" w:sz="4" w:space="0" w:color="auto"/>
            </w:tcBorders>
            <w:shd w:val="clear" w:color="000000" w:fill="BFBFBF"/>
            <w:noWrap/>
            <w:vAlign w:val="center"/>
            <w:hideMark/>
          </w:tcPr>
          <w:p w14:paraId="260165CB"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-3.148</w:t>
            </w:r>
          </w:p>
        </w:tc>
        <w:tc>
          <w:tcPr>
            <w:tcW w:w="1165" w:type="dxa"/>
            <w:tcBorders>
              <w:top w:val="nil"/>
              <w:left w:val="nil"/>
              <w:bottom w:val="single" w:sz="4" w:space="0" w:color="auto"/>
              <w:right w:val="single" w:sz="4" w:space="0" w:color="auto"/>
            </w:tcBorders>
            <w:shd w:val="clear" w:color="auto" w:fill="auto"/>
            <w:noWrap/>
            <w:vAlign w:val="center"/>
            <w:hideMark/>
          </w:tcPr>
          <w:p w14:paraId="1EAAF11E"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-2.454</w:t>
            </w:r>
          </w:p>
        </w:tc>
        <w:tc>
          <w:tcPr>
            <w:tcW w:w="1165" w:type="dxa"/>
            <w:tcBorders>
              <w:top w:val="nil"/>
              <w:left w:val="nil"/>
              <w:bottom w:val="single" w:sz="4" w:space="0" w:color="auto"/>
              <w:right w:val="single" w:sz="4" w:space="0" w:color="auto"/>
            </w:tcBorders>
            <w:shd w:val="clear" w:color="auto" w:fill="auto"/>
            <w:noWrap/>
            <w:vAlign w:val="center"/>
            <w:hideMark/>
          </w:tcPr>
          <w:p w14:paraId="1EF0D39B"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0.145</w:t>
            </w:r>
          </w:p>
        </w:tc>
        <w:tc>
          <w:tcPr>
            <w:tcW w:w="1165" w:type="dxa"/>
            <w:tcBorders>
              <w:top w:val="nil"/>
              <w:left w:val="nil"/>
              <w:bottom w:val="single" w:sz="4" w:space="0" w:color="auto"/>
              <w:right w:val="single" w:sz="4" w:space="0" w:color="auto"/>
            </w:tcBorders>
            <w:shd w:val="clear" w:color="auto" w:fill="auto"/>
            <w:noWrap/>
            <w:vAlign w:val="center"/>
            <w:hideMark/>
          </w:tcPr>
          <w:p w14:paraId="17F2B4A2"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55085DBA"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-5.457</w:t>
            </w:r>
          </w:p>
        </w:tc>
      </w:tr>
      <w:tr w:rsidR="00EA4AC4" w:rsidRPr="00756ED0" w14:paraId="02E0EF3F"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598351B3" w14:textId="77777777" w:rsidR="00EA4AC4" w:rsidRPr="00756ED0" w:rsidRDefault="00EA4AC4">
            <w:pPr>
              <w:spacing w:after="0"/>
              <w:rPr>
                <w:rFonts w:cs="Arial"/>
                <w:sz w:val="20"/>
                <w:szCs w:val="20"/>
                <w:lang w:eastAsia="en-GB"/>
              </w:rPr>
            </w:pPr>
            <w:r w:rsidRPr="00756ED0">
              <w:rPr>
                <w:rFonts w:cs="Arial"/>
                <w:sz w:val="20"/>
                <w:szCs w:val="20"/>
                <w:lang w:eastAsia="en-GB"/>
              </w:rPr>
              <w:t>Transitional Reserve</w:t>
            </w:r>
          </w:p>
        </w:tc>
        <w:tc>
          <w:tcPr>
            <w:tcW w:w="1164" w:type="dxa"/>
            <w:tcBorders>
              <w:top w:val="nil"/>
              <w:left w:val="nil"/>
              <w:bottom w:val="single" w:sz="4" w:space="0" w:color="auto"/>
              <w:right w:val="single" w:sz="4" w:space="0" w:color="auto"/>
            </w:tcBorders>
            <w:shd w:val="clear" w:color="auto" w:fill="auto"/>
            <w:noWrap/>
            <w:vAlign w:val="center"/>
            <w:hideMark/>
          </w:tcPr>
          <w:p w14:paraId="1DE2319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-215.777</w:t>
            </w:r>
          </w:p>
        </w:tc>
        <w:tc>
          <w:tcPr>
            <w:tcW w:w="1165" w:type="dxa"/>
            <w:tcBorders>
              <w:top w:val="nil"/>
              <w:left w:val="nil"/>
              <w:bottom w:val="single" w:sz="4" w:space="0" w:color="auto"/>
              <w:right w:val="single" w:sz="4" w:space="0" w:color="auto"/>
            </w:tcBorders>
            <w:shd w:val="clear" w:color="auto" w:fill="auto"/>
            <w:noWrap/>
            <w:vAlign w:val="center"/>
            <w:hideMark/>
          </w:tcPr>
          <w:p w14:paraId="09966254"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27.244</w:t>
            </w:r>
          </w:p>
        </w:tc>
        <w:tc>
          <w:tcPr>
            <w:tcW w:w="1165" w:type="dxa"/>
            <w:tcBorders>
              <w:top w:val="nil"/>
              <w:left w:val="nil"/>
              <w:bottom w:val="single" w:sz="4" w:space="0" w:color="auto"/>
              <w:right w:val="single" w:sz="4" w:space="0" w:color="auto"/>
            </w:tcBorders>
            <w:shd w:val="clear" w:color="000000" w:fill="BFBFBF"/>
            <w:noWrap/>
            <w:vAlign w:val="center"/>
            <w:hideMark/>
          </w:tcPr>
          <w:p w14:paraId="6946E184"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-188.533</w:t>
            </w:r>
          </w:p>
        </w:tc>
        <w:tc>
          <w:tcPr>
            <w:tcW w:w="1165" w:type="dxa"/>
            <w:tcBorders>
              <w:top w:val="nil"/>
              <w:left w:val="nil"/>
              <w:bottom w:val="single" w:sz="4" w:space="0" w:color="auto"/>
              <w:right w:val="single" w:sz="4" w:space="0" w:color="auto"/>
            </w:tcBorders>
            <w:shd w:val="clear" w:color="auto" w:fill="auto"/>
            <w:noWrap/>
            <w:vAlign w:val="center"/>
            <w:hideMark/>
          </w:tcPr>
          <w:p w14:paraId="5F467D3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7.249</w:t>
            </w:r>
          </w:p>
        </w:tc>
        <w:tc>
          <w:tcPr>
            <w:tcW w:w="1165" w:type="dxa"/>
            <w:tcBorders>
              <w:top w:val="nil"/>
              <w:left w:val="nil"/>
              <w:bottom w:val="single" w:sz="4" w:space="0" w:color="auto"/>
              <w:right w:val="single" w:sz="4" w:space="0" w:color="auto"/>
            </w:tcBorders>
            <w:shd w:val="clear" w:color="auto" w:fill="auto"/>
            <w:noWrap/>
            <w:vAlign w:val="center"/>
            <w:hideMark/>
          </w:tcPr>
          <w:p w14:paraId="2E3E6EEA"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3.333</w:t>
            </w:r>
          </w:p>
        </w:tc>
        <w:tc>
          <w:tcPr>
            <w:tcW w:w="1165" w:type="dxa"/>
            <w:tcBorders>
              <w:top w:val="nil"/>
              <w:left w:val="nil"/>
              <w:bottom w:val="single" w:sz="4" w:space="0" w:color="auto"/>
              <w:right w:val="single" w:sz="4" w:space="0" w:color="auto"/>
            </w:tcBorders>
            <w:shd w:val="clear" w:color="auto" w:fill="auto"/>
            <w:noWrap/>
            <w:vAlign w:val="center"/>
            <w:hideMark/>
          </w:tcPr>
          <w:p w14:paraId="2C31C8D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0CF3DFE4"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-177.951</w:t>
            </w:r>
          </w:p>
        </w:tc>
      </w:tr>
      <w:tr w:rsidR="00EA4AC4" w:rsidRPr="00756ED0" w14:paraId="7F98B67E"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0A46E6F5" w14:textId="77777777" w:rsidR="00EA4AC4" w:rsidRPr="00756ED0" w:rsidRDefault="00EA4AC4">
            <w:pPr>
              <w:spacing w:after="0"/>
              <w:rPr>
                <w:rFonts w:cs="Arial"/>
                <w:sz w:val="20"/>
                <w:szCs w:val="20"/>
                <w:lang w:eastAsia="en-GB"/>
              </w:rPr>
            </w:pPr>
            <w:r w:rsidRPr="00756ED0">
              <w:rPr>
                <w:rFonts w:cs="Arial"/>
                <w:sz w:val="20"/>
                <w:szCs w:val="20"/>
                <w:lang w:eastAsia="en-GB"/>
              </w:rPr>
              <w:t>Business Rates Volatility Reserve</w:t>
            </w:r>
          </w:p>
        </w:tc>
        <w:tc>
          <w:tcPr>
            <w:tcW w:w="1164" w:type="dxa"/>
            <w:tcBorders>
              <w:top w:val="nil"/>
              <w:left w:val="nil"/>
              <w:bottom w:val="single" w:sz="4" w:space="0" w:color="auto"/>
              <w:right w:val="single" w:sz="4" w:space="0" w:color="auto"/>
            </w:tcBorders>
            <w:shd w:val="clear" w:color="auto" w:fill="auto"/>
            <w:noWrap/>
            <w:vAlign w:val="center"/>
            <w:hideMark/>
          </w:tcPr>
          <w:p w14:paraId="5D16F8C8"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-5.000</w:t>
            </w:r>
          </w:p>
        </w:tc>
        <w:tc>
          <w:tcPr>
            <w:tcW w:w="1165" w:type="dxa"/>
            <w:tcBorders>
              <w:top w:val="nil"/>
              <w:left w:val="nil"/>
              <w:bottom w:val="single" w:sz="4" w:space="0" w:color="auto"/>
              <w:right w:val="single" w:sz="4" w:space="0" w:color="auto"/>
            </w:tcBorders>
            <w:shd w:val="clear" w:color="auto" w:fill="auto"/>
            <w:noWrap/>
            <w:vAlign w:val="center"/>
            <w:hideMark/>
          </w:tcPr>
          <w:p w14:paraId="5552EED5"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000000" w:fill="BFBFBF"/>
            <w:noWrap/>
            <w:vAlign w:val="center"/>
            <w:hideMark/>
          </w:tcPr>
          <w:p w14:paraId="69A1384B"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-5.000</w:t>
            </w:r>
          </w:p>
        </w:tc>
        <w:tc>
          <w:tcPr>
            <w:tcW w:w="1165" w:type="dxa"/>
            <w:tcBorders>
              <w:top w:val="nil"/>
              <w:left w:val="nil"/>
              <w:bottom w:val="single" w:sz="4" w:space="0" w:color="auto"/>
              <w:right w:val="single" w:sz="4" w:space="0" w:color="auto"/>
            </w:tcBorders>
            <w:shd w:val="clear" w:color="auto" w:fill="auto"/>
            <w:noWrap/>
            <w:vAlign w:val="center"/>
            <w:hideMark/>
          </w:tcPr>
          <w:p w14:paraId="68F98A0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auto" w:fill="auto"/>
            <w:noWrap/>
            <w:vAlign w:val="center"/>
            <w:hideMark/>
          </w:tcPr>
          <w:p w14:paraId="4832421B"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auto" w:fill="auto"/>
            <w:noWrap/>
            <w:vAlign w:val="center"/>
            <w:hideMark/>
          </w:tcPr>
          <w:p w14:paraId="4B1EEBC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7C48600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-5.000</w:t>
            </w:r>
          </w:p>
        </w:tc>
      </w:tr>
      <w:tr w:rsidR="00EA4AC4" w:rsidRPr="00756ED0" w14:paraId="0B3F77D5"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209E0AC5" w14:textId="77777777" w:rsidR="00EA4AC4" w:rsidRPr="00756ED0" w:rsidRDefault="00EA4AC4">
            <w:pPr>
              <w:spacing w:after="0"/>
              <w:rPr>
                <w:rFonts w:cs="Arial"/>
                <w:sz w:val="20"/>
                <w:szCs w:val="20"/>
                <w:lang w:eastAsia="en-GB"/>
              </w:rPr>
            </w:pPr>
            <w:r w:rsidRPr="00756ED0">
              <w:rPr>
                <w:rFonts w:cs="Arial"/>
                <w:sz w:val="20"/>
                <w:szCs w:val="20"/>
                <w:lang w:eastAsia="en-GB"/>
              </w:rPr>
              <w:t xml:space="preserve">Service Reserves </w:t>
            </w:r>
          </w:p>
        </w:tc>
        <w:tc>
          <w:tcPr>
            <w:tcW w:w="1164" w:type="dxa"/>
            <w:tcBorders>
              <w:top w:val="nil"/>
              <w:left w:val="nil"/>
              <w:bottom w:val="single" w:sz="4" w:space="0" w:color="auto"/>
              <w:right w:val="single" w:sz="4" w:space="0" w:color="auto"/>
            </w:tcBorders>
            <w:shd w:val="clear" w:color="auto" w:fill="auto"/>
            <w:noWrap/>
            <w:vAlign w:val="center"/>
            <w:hideMark/>
          </w:tcPr>
          <w:p w14:paraId="6A0FD8F1"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-108.745</w:t>
            </w:r>
          </w:p>
        </w:tc>
        <w:tc>
          <w:tcPr>
            <w:tcW w:w="1165" w:type="dxa"/>
            <w:tcBorders>
              <w:top w:val="nil"/>
              <w:left w:val="nil"/>
              <w:bottom w:val="single" w:sz="4" w:space="0" w:color="auto"/>
              <w:right w:val="single" w:sz="4" w:space="0" w:color="auto"/>
            </w:tcBorders>
            <w:shd w:val="clear" w:color="auto" w:fill="auto"/>
            <w:noWrap/>
            <w:vAlign w:val="center"/>
            <w:hideMark/>
          </w:tcPr>
          <w:p w14:paraId="7D028A4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39.078</w:t>
            </w:r>
          </w:p>
        </w:tc>
        <w:tc>
          <w:tcPr>
            <w:tcW w:w="1165" w:type="dxa"/>
            <w:tcBorders>
              <w:top w:val="nil"/>
              <w:left w:val="nil"/>
              <w:bottom w:val="single" w:sz="4" w:space="0" w:color="auto"/>
              <w:right w:val="single" w:sz="4" w:space="0" w:color="auto"/>
            </w:tcBorders>
            <w:shd w:val="clear" w:color="000000" w:fill="BFBFBF"/>
            <w:noWrap/>
            <w:vAlign w:val="center"/>
            <w:hideMark/>
          </w:tcPr>
          <w:p w14:paraId="65801292" w14:textId="77777777" w:rsidR="00EA4AC4" w:rsidRPr="00756ED0" w:rsidRDefault="00EA4AC4">
            <w:pPr>
              <w:spacing w:after="0"/>
              <w:jc w:val="center"/>
              <w:rPr>
                <w:rFonts w:cs="Arial"/>
                <w:sz w:val="20"/>
                <w:szCs w:val="20"/>
                <w:lang w:eastAsia="en-GB"/>
              </w:rPr>
            </w:pPr>
            <w:r w:rsidRPr="00756ED0">
              <w:rPr>
                <w:rFonts w:cs="Arial"/>
                <w:sz w:val="20"/>
                <w:szCs w:val="20"/>
                <w:lang w:eastAsia="en-GB"/>
              </w:rPr>
              <w:t>-69.667</w:t>
            </w:r>
          </w:p>
        </w:tc>
        <w:tc>
          <w:tcPr>
            <w:tcW w:w="1165" w:type="dxa"/>
            <w:tcBorders>
              <w:top w:val="nil"/>
              <w:left w:val="nil"/>
              <w:bottom w:val="single" w:sz="4" w:space="0" w:color="auto"/>
              <w:right w:val="single" w:sz="4" w:space="0" w:color="auto"/>
            </w:tcBorders>
            <w:shd w:val="clear" w:color="auto" w:fill="auto"/>
            <w:noWrap/>
            <w:vAlign w:val="center"/>
            <w:hideMark/>
          </w:tcPr>
          <w:p w14:paraId="7D55553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25.682</w:t>
            </w:r>
          </w:p>
        </w:tc>
        <w:tc>
          <w:tcPr>
            <w:tcW w:w="1165" w:type="dxa"/>
            <w:tcBorders>
              <w:top w:val="nil"/>
              <w:left w:val="nil"/>
              <w:bottom w:val="single" w:sz="4" w:space="0" w:color="auto"/>
              <w:right w:val="single" w:sz="4" w:space="0" w:color="auto"/>
            </w:tcBorders>
            <w:shd w:val="clear" w:color="auto" w:fill="auto"/>
            <w:noWrap/>
            <w:vAlign w:val="center"/>
            <w:hideMark/>
          </w:tcPr>
          <w:p w14:paraId="4DB2E137"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16.292</w:t>
            </w:r>
          </w:p>
        </w:tc>
        <w:tc>
          <w:tcPr>
            <w:tcW w:w="1165" w:type="dxa"/>
            <w:tcBorders>
              <w:top w:val="nil"/>
              <w:left w:val="nil"/>
              <w:bottom w:val="single" w:sz="4" w:space="0" w:color="auto"/>
              <w:right w:val="single" w:sz="4" w:space="0" w:color="auto"/>
            </w:tcBorders>
            <w:shd w:val="clear" w:color="auto" w:fill="auto"/>
            <w:noWrap/>
            <w:vAlign w:val="center"/>
            <w:hideMark/>
          </w:tcPr>
          <w:p w14:paraId="6276EAB2" w14:textId="77777777" w:rsidR="00EA4AC4" w:rsidRPr="00756ED0" w:rsidRDefault="00EA4AC4">
            <w:pPr>
              <w:spacing w:after="0"/>
              <w:jc w:val="center"/>
              <w:rPr>
                <w:rFonts w:cs="Arial"/>
                <w:sz w:val="20"/>
                <w:szCs w:val="20"/>
                <w:lang w:eastAsia="en-GB"/>
              </w:rPr>
            </w:pPr>
            <w:r w:rsidRPr="00756ED0">
              <w:rPr>
                <w:rFonts w:cs="Arial"/>
                <w:sz w:val="20"/>
                <w:szCs w:val="20"/>
                <w:lang w:eastAsia="en-GB"/>
              </w:rPr>
              <w:t>8.428</w:t>
            </w:r>
          </w:p>
        </w:tc>
        <w:tc>
          <w:tcPr>
            <w:tcW w:w="1165" w:type="dxa"/>
            <w:tcBorders>
              <w:top w:val="nil"/>
              <w:left w:val="nil"/>
              <w:bottom w:val="single" w:sz="4" w:space="0" w:color="auto"/>
              <w:right w:val="single" w:sz="8" w:space="0" w:color="auto"/>
            </w:tcBorders>
            <w:shd w:val="clear" w:color="000000" w:fill="BFBFBF"/>
            <w:noWrap/>
            <w:vAlign w:val="center"/>
            <w:hideMark/>
          </w:tcPr>
          <w:p w14:paraId="0716A834"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-19.265</w:t>
            </w:r>
          </w:p>
        </w:tc>
      </w:tr>
      <w:tr w:rsidR="00EA4AC4" w:rsidRPr="00756ED0" w14:paraId="31E3CC59" w14:textId="77777777" w:rsidTr="00EA4AC4">
        <w:trPr>
          <w:trHeight w:val="559"/>
        </w:trPr>
        <w:tc>
          <w:tcPr>
            <w:tcW w:w="1637" w:type="dxa"/>
            <w:tcBorders>
              <w:top w:val="nil"/>
              <w:left w:val="single" w:sz="8" w:space="0" w:color="auto"/>
              <w:bottom w:val="nil"/>
              <w:right w:val="single" w:sz="4" w:space="0" w:color="auto"/>
            </w:tcBorders>
            <w:shd w:val="clear" w:color="auto" w:fill="auto"/>
            <w:vAlign w:val="center"/>
            <w:hideMark/>
          </w:tcPr>
          <w:p w14:paraId="1CE4EEE9" w14:textId="77777777" w:rsidR="00EA4AC4" w:rsidRPr="00756ED0" w:rsidRDefault="00EA4AC4">
            <w:pPr>
              <w:spacing w:after="0"/>
              <w:rPr>
                <w:rFonts w:cs="Arial"/>
                <w:sz w:val="20"/>
                <w:szCs w:val="20"/>
                <w:lang w:eastAsia="en-GB"/>
              </w:rPr>
            </w:pPr>
            <w:r w:rsidRPr="00756ED0">
              <w:rPr>
                <w:rFonts w:cs="Arial"/>
                <w:sz w:val="20"/>
                <w:szCs w:val="20"/>
                <w:lang w:eastAsia="en-GB"/>
              </w:rPr>
              <w:t>Treasury Management Valuation Reserve</w:t>
            </w:r>
          </w:p>
        </w:tc>
        <w:tc>
          <w:tcPr>
            <w:tcW w:w="1164" w:type="dxa"/>
            <w:tcBorders>
              <w:top w:val="nil"/>
              <w:left w:val="nil"/>
              <w:bottom w:val="nil"/>
              <w:right w:val="single" w:sz="4" w:space="0" w:color="auto"/>
            </w:tcBorders>
            <w:shd w:val="clear" w:color="auto" w:fill="auto"/>
            <w:noWrap/>
            <w:vAlign w:val="center"/>
            <w:hideMark/>
          </w:tcPr>
          <w:p w14:paraId="15AE33E5"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-36.317</w:t>
            </w:r>
          </w:p>
        </w:tc>
        <w:tc>
          <w:tcPr>
            <w:tcW w:w="1165" w:type="dxa"/>
            <w:tcBorders>
              <w:top w:val="nil"/>
              <w:left w:val="nil"/>
              <w:bottom w:val="nil"/>
              <w:right w:val="single" w:sz="4" w:space="0" w:color="auto"/>
            </w:tcBorders>
            <w:shd w:val="clear" w:color="auto" w:fill="auto"/>
            <w:noWrap/>
            <w:vAlign w:val="center"/>
            <w:hideMark/>
          </w:tcPr>
          <w:p w14:paraId="5709841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000000" w:fill="BFBFBF"/>
            <w:noWrap/>
            <w:vAlign w:val="center"/>
            <w:hideMark/>
          </w:tcPr>
          <w:p w14:paraId="231D9DDB"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-36.317</w:t>
            </w:r>
          </w:p>
        </w:tc>
        <w:tc>
          <w:tcPr>
            <w:tcW w:w="1165" w:type="dxa"/>
            <w:tcBorders>
              <w:top w:val="nil"/>
              <w:left w:val="nil"/>
              <w:bottom w:val="nil"/>
              <w:right w:val="single" w:sz="4" w:space="0" w:color="auto"/>
            </w:tcBorders>
            <w:shd w:val="clear" w:color="auto" w:fill="auto"/>
            <w:noWrap/>
            <w:vAlign w:val="center"/>
            <w:hideMark/>
          </w:tcPr>
          <w:p w14:paraId="423DAE2E"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nil"/>
              <w:right w:val="single" w:sz="4" w:space="0" w:color="auto"/>
            </w:tcBorders>
            <w:shd w:val="clear" w:color="auto" w:fill="auto"/>
            <w:noWrap/>
            <w:vAlign w:val="center"/>
            <w:hideMark/>
          </w:tcPr>
          <w:p w14:paraId="534FE97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4" w:space="0" w:color="auto"/>
            </w:tcBorders>
            <w:shd w:val="clear" w:color="auto" w:fill="auto"/>
            <w:noWrap/>
            <w:vAlign w:val="center"/>
            <w:hideMark/>
          </w:tcPr>
          <w:p w14:paraId="3BBC2A0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0.000</w:t>
            </w:r>
          </w:p>
        </w:tc>
        <w:tc>
          <w:tcPr>
            <w:tcW w:w="1165" w:type="dxa"/>
            <w:tcBorders>
              <w:top w:val="nil"/>
              <w:left w:val="nil"/>
              <w:bottom w:val="single" w:sz="4" w:space="0" w:color="auto"/>
              <w:right w:val="single" w:sz="8" w:space="0" w:color="auto"/>
            </w:tcBorders>
            <w:shd w:val="clear" w:color="000000" w:fill="BFBFBF"/>
            <w:noWrap/>
            <w:vAlign w:val="center"/>
            <w:hideMark/>
          </w:tcPr>
          <w:p w14:paraId="3CA570C3"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-36.317</w:t>
            </w:r>
          </w:p>
        </w:tc>
      </w:tr>
      <w:tr w:rsidR="00EA4AC4" w:rsidRPr="00756ED0" w14:paraId="75AA9CD5" w14:textId="77777777" w:rsidTr="00EA4AC4">
        <w:trPr>
          <w:trHeight w:val="559"/>
        </w:trPr>
        <w:tc>
          <w:tcPr>
            <w:tcW w:w="1637"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0B232E34" w14:textId="77777777" w:rsidR="00EA4AC4" w:rsidRPr="00756ED0" w:rsidRDefault="00EA4AC4">
            <w:pPr>
              <w:spacing w:after="0"/>
              <w:rPr>
                <w:rFonts w:cs="Arial"/>
                <w:b/>
                <w:bCs/>
                <w:sz w:val="20"/>
                <w:szCs w:val="20"/>
                <w:lang w:eastAsia="en-GB"/>
              </w:rPr>
            </w:pPr>
            <w:r w:rsidRPr="00756ED0">
              <w:rPr>
                <w:rFonts w:cs="Arial"/>
                <w:b/>
                <w:bCs/>
                <w:sz w:val="20"/>
                <w:szCs w:val="20"/>
                <w:lang w:eastAsia="en-GB"/>
              </w:rPr>
              <w:t>SUB TOTAL - LCC RESERVES</w:t>
            </w:r>
          </w:p>
        </w:tc>
        <w:tc>
          <w:tcPr>
            <w:tcW w:w="1164" w:type="dxa"/>
            <w:tcBorders>
              <w:top w:val="single" w:sz="4" w:space="0" w:color="auto"/>
              <w:left w:val="nil"/>
              <w:bottom w:val="single" w:sz="8" w:space="0" w:color="auto"/>
              <w:right w:val="single" w:sz="4" w:space="0" w:color="auto"/>
            </w:tcBorders>
            <w:shd w:val="clear" w:color="000000" w:fill="BFBFBF"/>
            <w:noWrap/>
            <w:vAlign w:val="center"/>
            <w:hideMark/>
          </w:tcPr>
          <w:p w14:paraId="5FB0396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-390.809</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06966329"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74.249</w:t>
            </w:r>
          </w:p>
        </w:tc>
        <w:tc>
          <w:tcPr>
            <w:tcW w:w="1165" w:type="dxa"/>
            <w:tcBorders>
              <w:top w:val="nil"/>
              <w:left w:val="nil"/>
              <w:bottom w:val="single" w:sz="8" w:space="0" w:color="auto"/>
              <w:right w:val="single" w:sz="4" w:space="0" w:color="auto"/>
            </w:tcBorders>
            <w:shd w:val="clear" w:color="000000" w:fill="BFBFBF"/>
            <w:noWrap/>
            <w:vAlign w:val="center"/>
            <w:hideMark/>
          </w:tcPr>
          <w:p w14:paraId="5266C75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-316.560</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4BFAAF05"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35.157</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6B193F29"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22.465</w:t>
            </w:r>
          </w:p>
        </w:tc>
        <w:tc>
          <w:tcPr>
            <w:tcW w:w="1165" w:type="dxa"/>
            <w:tcBorders>
              <w:top w:val="nil"/>
              <w:left w:val="nil"/>
              <w:bottom w:val="single" w:sz="8" w:space="0" w:color="auto"/>
              <w:right w:val="single" w:sz="4" w:space="0" w:color="auto"/>
            </w:tcBorders>
            <w:shd w:val="clear" w:color="000000" w:fill="BFBFBF"/>
            <w:noWrap/>
            <w:vAlign w:val="center"/>
            <w:hideMark/>
          </w:tcPr>
          <w:p w14:paraId="4298FAC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9.341</w:t>
            </w:r>
          </w:p>
        </w:tc>
        <w:tc>
          <w:tcPr>
            <w:tcW w:w="1165" w:type="dxa"/>
            <w:tcBorders>
              <w:top w:val="nil"/>
              <w:left w:val="nil"/>
              <w:bottom w:val="single" w:sz="8" w:space="0" w:color="auto"/>
              <w:right w:val="single" w:sz="8" w:space="0" w:color="auto"/>
            </w:tcBorders>
            <w:shd w:val="clear" w:color="000000" w:fill="BFBFBF"/>
            <w:noWrap/>
            <w:vAlign w:val="center"/>
            <w:hideMark/>
          </w:tcPr>
          <w:p w14:paraId="01D8CFD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-249.597</w:t>
            </w:r>
          </w:p>
        </w:tc>
      </w:tr>
      <w:tr w:rsidR="00EA4AC4" w:rsidRPr="00756ED0" w14:paraId="21A4CF43" w14:textId="77777777" w:rsidTr="00EA4AC4">
        <w:trPr>
          <w:trHeight w:val="559"/>
        </w:trPr>
        <w:tc>
          <w:tcPr>
            <w:tcW w:w="1637" w:type="dxa"/>
            <w:tcBorders>
              <w:top w:val="nil"/>
              <w:left w:val="single" w:sz="8" w:space="0" w:color="auto"/>
              <w:bottom w:val="single" w:sz="4" w:space="0" w:color="auto"/>
              <w:right w:val="single" w:sz="4" w:space="0" w:color="auto"/>
            </w:tcBorders>
            <w:shd w:val="clear" w:color="auto" w:fill="auto"/>
            <w:vAlign w:val="center"/>
            <w:hideMark/>
          </w:tcPr>
          <w:p w14:paraId="2D4F91E4" w14:textId="77777777" w:rsidR="00EA4AC4" w:rsidRPr="00756ED0" w:rsidRDefault="00EA4AC4">
            <w:pPr>
              <w:spacing w:after="0"/>
              <w:rPr>
                <w:rFonts w:cs="Arial"/>
                <w:sz w:val="20"/>
                <w:szCs w:val="20"/>
                <w:lang w:eastAsia="en-GB"/>
              </w:rPr>
            </w:pPr>
            <w:r w:rsidRPr="00756ED0">
              <w:rPr>
                <w:rFonts w:cs="Arial"/>
                <w:sz w:val="20"/>
                <w:szCs w:val="20"/>
                <w:lang w:eastAsia="en-GB"/>
              </w:rPr>
              <w:t>Non-LCC Service Reserves</w:t>
            </w:r>
          </w:p>
        </w:tc>
        <w:tc>
          <w:tcPr>
            <w:tcW w:w="1164" w:type="dxa"/>
            <w:tcBorders>
              <w:top w:val="nil"/>
              <w:left w:val="nil"/>
              <w:bottom w:val="nil"/>
              <w:right w:val="single" w:sz="4" w:space="0" w:color="auto"/>
            </w:tcBorders>
            <w:shd w:val="clear" w:color="auto" w:fill="auto"/>
            <w:noWrap/>
            <w:vAlign w:val="center"/>
            <w:hideMark/>
          </w:tcPr>
          <w:p w14:paraId="609CA1A1"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-17.065</w:t>
            </w:r>
          </w:p>
        </w:tc>
        <w:tc>
          <w:tcPr>
            <w:tcW w:w="1165" w:type="dxa"/>
            <w:tcBorders>
              <w:top w:val="nil"/>
              <w:left w:val="nil"/>
              <w:bottom w:val="nil"/>
              <w:right w:val="single" w:sz="4" w:space="0" w:color="auto"/>
            </w:tcBorders>
            <w:shd w:val="clear" w:color="auto" w:fill="auto"/>
            <w:noWrap/>
            <w:vAlign w:val="center"/>
            <w:hideMark/>
          </w:tcPr>
          <w:p w14:paraId="73F19A77"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0.314</w:t>
            </w:r>
          </w:p>
        </w:tc>
        <w:tc>
          <w:tcPr>
            <w:tcW w:w="1165" w:type="dxa"/>
            <w:tcBorders>
              <w:top w:val="nil"/>
              <w:left w:val="nil"/>
              <w:bottom w:val="single" w:sz="4" w:space="0" w:color="auto"/>
              <w:right w:val="single" w:sz="4" w:space="0" w:color="auto"/>
            </w:tcBorders>
            <w:shd w:val="clear" w:color="000000" w:fill="BFBFBF"/>
            <w:noWrap/>
            <w:vAlign w:val="center"/>
            <w:hideMark/>
          </w:tcPr>
          <w:p w14:paraId="16BFC68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-16.751</w:t>
            </w:r>
          </w:p>
        </w:tc>
        <w:tc>
          <w:tcPr>
            <w:tcW w:w="1165" w:type="dxa"/>
            <w:tcBorders>
              <w:top w:val="nil"/>
              <w:left w:val="nil"/>
              <w:bottom w:val="nil"/>
              <w:right w:val="single" w:sz="4" w:space="0" w:color="auto"/>
            </w:tcBorders>
            <w:shd w:val="clear" w:color="auto" w:fill="auto"/>
            <w:noWrap/>
            <w:vAlign w:val="center"/>
            <w:hideMark/>
          </w:tcPr>
          <w:p w14:paraId="5630409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3.256</w:t>
            </w:r>
          </w:p>
        </w:tc>
        <w:tc>
          <w:tcPr>
            <w:tcW w:w="1165" w:type="dxa"/>
            <w:tcBorders>
              <w:top w:val="nil"/>
              <w:left w:val="nil"/>
              <w:bottom w:val="nil"/>
              <w:right w:val="single" w:sz="4" w:space="0" w:color="auto"/>
            </w:tcBorders>
            <w:shd w:val="clear" w:color="auto" w:fill="auto"/>
            <w:noWrap/>
            <w:vAlign w:val="center"/>
            <w:hideMark/>
          </w:tcPr>
          <w:p w14:paraId="142BFF36"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0.551</w:t>
            </w:r>
          </w:p>
        </w:tc>
        <w:tc>
          <w:tcPr>
            <w:tcW w:w="1165" w:type="dxa"/>
            <w:tcBorders>
              <w:top w:val="nil"/>
              <w:left w:val="nil"/>
              <w:bottom w:val="single" w:sz="4" w:space="0" w:color="auto"/>
              <w:right w:val="single" w:sz="4" w:space="0" w:color="auto"/>
            </w:tcBorders>
            <w:shd w:val="clear" w:color="auto" w:fill="auto"/>
            <w:noWrap/>
            <w:vAlign w:val="center"/>
            <w:hideMark/>
          </w:tcPr>
          <w:p w14:paraId="76EA803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0.149</w:t>
            </w:r>
          </w:p>
        </w:tc>
        <w:tc>
          <w:tcPr>
            <w:tcW w:w="1165" w:type="dxa"/>
            <w:tcBorders>
              <w:top w:val="nil"/>
              <w:left w:val="nil"/>
              <w:bottom w:val="single" w:sz="4" w:space="0" w:color="auto"/>
              <w:right w:val="single" w:sz="8" w:space="0" w:color="auto"/>
            </w:tcBorders>
            <w:shd w:val="clear" w:color="000000" w:fill="BFBFBF"/>
            <w:noWrap/>
            <w:vAlign w:val="center"/>
            <w:hideMark/>
          </w:tcPr>
          <w:p w14:paraId="1D46011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-12.795</w:t>
            </w:r>
          </w:p>
        </w:tc>
      </w:tr>
      <w:tr w:rsidR="00EA4AC4" w:rsidRPr="00756ED0" w14:paraId="5EB78B2B" w14:textId="77777777" w:rsidTr="00EA4AC4">
        <w:trPr>
          <w:trHeight w:val="376"/>
        </w:trPr>
        <w:tc>
          <w:tcPr>
            <w:tcW w:w="1637" w:type="dxa"/>
            <w:tcBorders>
              <w:top w:val="nil"/>
              <w:left w:val="single" w:sz="8" w:space="0" w:color="auto"/>
              <w:bottom w:val="single" w:sz="8" w:space="0" w:color="auto"/>
              <w:right w:val="single" w:sz="4" w:space="0" w:color="auto"/>
            </w:tcBorders>
            <w:shd w:val="clear" w:color="000000" w:fill="BFBFBF"/>
            <w:vAlign w:val="center"/>
            <w:hideMark/>
          </w:tcPr>
          <w:p w14:paraId="4AAFF323" w14:textId="77777777" w:rsidR="00EA4AC4" w:rsidRPr="00756ED0" w:rsidRDefault="00EA4AC4">
            <w:pPr>
              <w:spacing w:after="0"/>
              <w:rPr>
                <w:rFonts w:cs="Arial"/>
                <w:b/>
                <w:bCs/>
                <w:sz w:val="20"/>
                <w:szCs w:val="20"/>
                <w:lang w:eastAsia="en-GB"/>
              </w:rPr>
            </w:pPr>
            <w:r w:rsidRPr="00756ED0">
              <w:rPr>
                <w:rFonts w:cs="Arial"/>
                <w:b/>
                <w:bCs/>
                <w:sz w:val="20"/>
                <w:szCs w:val="20"/>
                <w:lang w:eastAsia="en-GB"/>
              </w:rPr>
              <w:t>SUB TOTAL - NON LCC RESERVES</w:t>
            </w:r>
          </w:p>
        </w:tc>
        <w:tc>
          <w:tcPr>
            <w:tcW w:w="1164" w:type="dxa"/>
            <w:tcBorders>
              <w:top w:val="single" w:sz="4" w:space="0" w:color="auto"/>
              <w:left w:val="nil"/>
              <w:bottom w:val="single" w:sz="8" w:space="0" w:color="auto"/>
              <w:right w:val="single" w:sz="4" w:space="0" w:color="auto"/>
            </w:tcBorders>
            <w:shd w:val="clear" w:color="000000" w:fill="BFBFBF"/>
            <w:noWrap/>
            <w:vAlign w:val="center"/>
            <w:hideMark/>
          </w:tcPr>
          <w:p w14:paraId="5B0F6F96"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-17.065</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7A38C094"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0.314</w:t>
            </w:r>
          </w:p>
        </w:tc>
        <w:tc>
          <w:tcPr>
            <w:tcW w:w="1165" w:type="dxa"/>
            <w:tcBorders>
              <w:top w:val="nil"/>
              <w:left w:val="nil"/>
              <w:bottom w:val="single" w:sz="8" w:space="0" w:color="auto"/>
              <w:right w:val="single" w:sz="4" w:space="0" w:color="auto"/>
            </w:tcBorders>
            <w:shd w:val="clear" w:color="000000" w:fill="BFBFBF"/>
            <w:noWrap/>
            <w:vAlign w:val="center"/>
            <w:hideMark/>
          </w:tcPr>
          <w:p w14:paraId="6E40EDF7"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-16.751</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4BF614D7"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3.256</w:t>
            </w:r>
          </w:p>
        </w:tc>
        <w:tc>
          <w:tcPr>
            <w:tcW w:w="1165" w:type="dxa"/>
            <w:tcBorders>
              <w:top w:val="single" w:sz="4" w:space="0" w:color="auto"/>
              <w:left w:val="nil"/>
              <w:bottom w:val="single" w:sz="8" w:space="0" w:color="auto"/>
              <w:right w:val="single" w:sz="4" w:space="0" w:color="auto"/>
            </w:tcBorders>
            <w:shd w:val="clear" w:color="000000" w:fill="BFBFBF"/>
            <w:noWrap/>
            <w:vAlign w:val="center"/>
            <w:hideMark/>
          </w:tcPr>
          <w:p w14:paraId="3A8A5C8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0.551</w:t>
            </w:r>
          </w:p>
        </w:tc>
        <w:tc>
          <w:tcPr>
            <w:tcW w:w="1165" w:type="dxa"/>
            <w:tcBorders>
              <w:top w:val="nil"/>
              <w:left w:val="nil"/>
              <w:bottom w:val="single" w:sz="8" w:space="0" w:color="auto"/>
              <w:right w:val="single" w:sz="4" w:space="0" w:color="auto"/>
            </w:tcBorders>
            <w:shd w:val="clear" w:color="000000" w:fill="BFBFBF"/>
            <w:noWrap/>
            <w:vAlign w:val="center"/>
            <w:hideMark/>
          </w:tcPr>
          <w:p w14:paraId="690CEB34"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0.149</w:t>
            </w:r>
          </w:p>
        </w:tc>
        <w:tc>
          <w:tcPr>
            <w:tcW w:w="1165" w:type="dxa"/>
            <w:tcBorders>
              <w:top w:val="nil"/>
              <w:left w:val="nil"/>
              <w:bottom w:val="single" w:sz="8" w:space="0" w:color="auto"/>
              <w:right w:val="single" w:sz="8" w:space="0" w:color="auto"/>
            </w:tcBorders>
            <w:shd w:val="clear" w:color="000000" w:fill="BFBFBF"/>
            <w:noWrap/>
            <w:vAlign w:val="center"/>
            <w:hideMark/>
          </w:tcPr>
          <w:p w14:paraId="2FA8184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-12.795</w:t>
            </w:r>
          </w:p>
        </w:tc>
      </w:tr>
      <w:tr w:rsidR="00EA4AC4" w:rsidRPr="00756ED0" w14:paraId="3D149738" w14:textId="77777777" w:rsidTr="00EA4AC4">
        <w:trPr>
          <w:trHeight w:val="261"/>
        </w:trPr>
        <w:tc>
          <w:tcPr>
            <w:tcW w:w="1637" w:type="dxa"/>
            <w:tcBorders>
              <w:top w:val="single" w:sz="4" w:space="0" w:color="auto"/>
              <w:left w:val="single" w:sz="8" w:space="0" w:color="auto"/>
              <w:bottom w:val="nil"/>
              <w:right w:val="single" w:sz="4" w:space="0" w:color="auto"/>
            </w:tcBorders>
            <w:shd w:val="clear" w:color="auto" w:fill="auto"/>
            <w:vAlign w:val="center"/>
            <w:hideMark/>
          </w:tcPr>
          <w:p w14:paraId="4262DFBD" w14:textId="77777777" w:rsidR="00EA4AC4" w:rsidRPr="00756ED0" w:rsidRDefault="00EA4AC4">
            <w:pPr>
              <w:spacing w:after="0"/>
              <w:rPr>
                <w:rFonts w:cs="Arial"/>
                <w:i/>
                <w:iCs/>
                <w:sz w:val="20"/>
                <w:szCs w:val="20"/>
                <w:lang w:eastAsia="en-GB"/>
              </w:rPr>
            </w:pPr>
            <w:r w:rsidRPr="00756ED0">
              <w:rPr>
                <w:rFonts w:cs="Arial"/>
                <w:i/>
                <w:iCs/>
                <w:sz w:val="20"/>
                <w:szCs w:val="20"/>
                <w:lang w:eastAsia="en-GB"/>
              </w:rPr>
              <w:t> </w:t>
            </w:r>
          </w:p>
        </w:tc>
        <w:tc>
          <w:tcPr>
            <w:tcW w:w="1164" w:type="dxa"/>
            <w:tcBorders>
              <w:top w:val="single" w:sz="4" w:space="0" w:color="auto"/>
              <w:left w:val="nil"/>
              <w:bottom w:val="nil"/>
              <w:right w:val="single" w:sz="4" w:space="0" w:color="auto"/>
            </w:tcBorders>
            <w:shd w:val="clear" w:color="auto" w:fill="auto"/>
            <w:noWrap/>
            <w:vAlign w:val="center"/>
            <w:hideMark/>
          </w:tcPr>
          <w:p w14:paraId="662E3DCF" w14:textId="77777777" w:rsidR="00EA4AC4" w:rsidRPr="00756ED0" w:rsidRDefault="00EA4AC4">
            <w:pPr>
              <w:spacing w:after="0"/>
              <w:jc w:val="center"/>
              <w:rPr>
                <w:rFonts w:cs="Arial"/>
                <w:sz w:val="20"/>
                <w:szCs w:val="20"/>
                <w:lang w:eastAsia="en-GB"/>
              </w:rPr>
            </w:pPr>
            <w:r w:rsidRPr="00756ED0">
              <w:rPr>
                <w:rFonts w:cs="Arial"/>
                <w:sz w:val="20"/>
                <w:szCs w:val="20"/>
                <w:lang w:eastAsia="en-GB"/>
              </w:rPr>
              <w:t> </w:t>
            </w:r>
          </w:p>
        </w:tc>
        <w:tc>
          <w:tcPr>
            <w:tcW w:w="1165" w:type="dxa"/>
            <w:tcBorders>
              <w:top w:val="single" w:sz="4" w:space="0" w:color="auto"/>
              <w:left w:val="nil"/>
              <w:bottom w:val="nil"/>
              <w:right w:val="single" w:sz="4" w:space="0" w:color="auto"/>
            </w:tcBorders>
            <w:shd w:val="clear" w:color="auto" w:fill="auto"/>
            <w:noWrap/>
            <w:vAlign w:val="center"/>
            <w:hideMark/>
          </w:tcPr>
          <w:p w14:paraId="17061A79" w14:textId="77777777" w:rsidR="00EA4AC4" w:rsidRPr="00756ED0" w:rsidRDefault="00EA4AC4">
            <w:pPr>
              <w:spacing w:after="0"/>
              <w:jc w:val="center"/>
              <w:rPr>
                <w:rFonts w:cs="Arial"/>
                <w:sz w:val="20"/>
                <w:szCs w:val="20"/>
                <w:lang w:eastAsia="en-GB"/>
              </w:rPr>
            </w:pPr>
            <w:r w:rsidRPr="00756ED0">
              <w:rPr>
                <w:rFonts w:cs="Arial"/>
                <w:sz w:val="20"/>
                <w:szCs w:val="20"/>
                <w:lang w:eastAsia="en-GB"/>
              </w:rPr>
              <w:t> </w:t>
            </w:r>
          </w:p>
        </w:tc>
        <w:tc>
          <w:tcPr>
            <w:tcW w:w="1165" w:type="dxa"/>
            <w:tcBorders>
              <w:top w:val="single" w:sz="4" w:space="0" w:color="auto"/>
              <w:left w:val="nil"/>
              <w:bottom w:val="nil"/>
              <w:right w:val="single" w:sz="4" w:space="0" w:color="auto"/>
            </w:tcBorders>
            <w:shd w:val="clear" w:color="auto" w:fill="auto"/>
            <w:noWrap/>
            <w:vAlign w:val="center"/>
            <w:hideMark/>
          </w:tcPr>
          <w:p w14:paraId="6032597D" w14:textId="77777777" w:rsidR="00EA4AC4" w:rsidRPr="00756ED0" w:rsidRDefault="00EA4AC4">
            <w:pPr>
              <w:spacing w:after="0"/>
              <w:jc w:val="center"/>
              <w:rPr>
                <w:rFonts w:cs="Arial"/>
                <w:sz w:val="20"/>
                <w:szCs w:val="20"/>
                <w:lang w:eastAsia="en-GB"/>
              </w:rPr>
            </w:pPr>
            <w:r w:rsidRPr="00756ED0">
              <w:rPr>
                <w:rFonts w:cs="Arial"/>
                <w:sz w:val="20"/>
                <w:szCs w:val="20"/>
                <w:lang w:eastAsia="en-GB"/>
              </w:rPr>
              <w:t> </w:t>
            </w:r>
          </w:p>
        </w:tc>
        <w:tc>
          <w:tcPr>
            <w:tcW w:w="1165" w:type="dxa"/>
            <w:tcBorders>
              <w:top w:val="single" w:sz="4" w:space="0" w:color="auto"/>
              <w:left w:val="nil"/>
              <w:bottom w:val="nil"/>
              <w:right w:val="single" w:sz="4" w:space="0" w:color="auto"/>
            </w:tcBorders>
            <w:shd w:val="clear" w:color="auto" w:fill="auto"/>
            <w:noWrap/>
            <w:vAlign w:val="center"/>
            <w:hideMark/>
          </w:tcPr>
          <w:p w14:paraId="069FFFD5" w14:textId="77777777" w:rsidR="00EA4AC4" w:rsidRPr="00756ED0" w:rsidRDefault="00EA4AC4">
            <w:pPr>
              <w:spacing w:after="0"/>
              <w:jc w:val="center"/>
              <w:rPr>
                <w:rFonts w:cs="Arial"/>
                <w:i/>
                <w:iCs/>
                <w:sz w:val="20"/>
                <w:szCs w:val="20"/>
                <w:lang w:eastAsia="en-GB"/>
              </w:rPr>
            </w:pPr>
            <w:r w:rsidRPr="00756ED0">
              <w:rPr>
                <w:rFonts w:cs="Arial"/>
                <w:i/>
                <w:iCs/>
                <w:sz w:val="20"/>
                <w:szCs w:val="20"/>
                <w:lang w:eastAsia="en-GB"/>
              </w:rPr>
              <w:t> </w:t>
            </w:r>
          </w:p>
        </w:tc>
        <w:tc>
          <w:tcPr>
            <w:tcW w:w="1165" w:type="dxa"/>
            <w:tcBorders>
              <w:top w:val="single" w:sz="4" w:space="0" w:color="auto"/>
              <w:left w:val="nil"/>
              <w:bottom w:val="nil"/>
              <w:right w:val="single" w:sz="4" w:space="0" w:color="auto"/>
            </w:tcBorders>
            <w:shd w:val="clear" w:color="auto" w:fill="auto"/>
            <w:noWrap/>
            <w:vAlign w:val="center"/>
            <w:hideMark/>
          </w:tcPr>
          <w:p w14:paraId="432645AD" w14:textId="77777777" w:rsidR="00EA4AC4" w:rsidRPr="00756ED0" w:rsidRDefault="00EA4AC4">
            <w:pPr>
              <w:spacing w:after="0"/>
              <w:jc w:val="center"/>
              <w:rPr>
                <w:rFonts w:cs="Arial"/>
                <w:i/>
                <w:iCs/>
                <w:sz w:val="20"/>
                <w:szCs w:val="20"/>
                <w:lang w:eastAsia="en-GB"/>
              </w:rPr>
            </w:pPr>
            <w:r w:rsidRPr="00756ED0">
              <w:rPr>
                <w:rFonts w:cs="Arial"/>
                <w:i/>
                <w:iCs/>
                <w:sz w:val="20"/>
                <w:szCs w:val="20"/>
                <w:lang w:eastAsia="en-GB"/>
              </w:rPr>
              <w:t> </w:t>
            </w:r>
          </w:p>
        </w:tc>
        <w:tc>
          <w:tcPr>
            <w:tcW w:w="1165" w:type="dxa"/>
            <w:tcBorders>
              <w:top w:val="nil"/>
              <w:left w:val="nil"/>
              <w:bottom w:val="single" w:sz="8" w:space="0" w:color="auto"/>
              <w:right w:val="single" w:sz="4" w:space="0" w:color="auto"/>
            </w:tcBorders>
            <w:shd w:val="clear" w:color="auto" w:fill="auto"/>
            <w:noWrap/>
            <w:vAlign w:val="center"/>
            <w:hideMark/>
          </w:tcPr>
          <w:p w14:paraId="2E4BD9A3" w14:textId="77777777" w:rsidR="00EA4AC4" w:rsidRPr="00756ED0" w:rsidRDefault="00EA4AC4">
            <w:pPr>
              <w:spacing w:after="0"/>
              <w:jc w:val="center"/>
              <w:rPr>
                <w:rFonts w:cs="Arial"/>
                <w:i/>
                <w:iCs/>
                <w:sz w:val="20"/>
                <w:szCs w:val="20"/>
                <w:lang w:eastAsia="en-GB"/>
              </w:rPr>
            </w:pPr>
            <w:r w:rsidRPr="00756ED0">
              <w:rPr>
                <w:rFonts w:cs="Arial"/>
                <w:i/>
                <w:iCs/>
                <w:sz w:val="20"/>
                <w:szCs w:val="20"/>
                <w:lang w:eastAsia="en-GB"/>
              </w:rPr>
              <w:t> </w:t>
            </w:r>
          </w:p>
        </w:tc>
        <w:tc>
          <w:tcPr>
            <w:tcW w:w="1165" w:type="dxa"/>
            <w:tcBorders>
              <w:top w:val="nil"/>
              <w:left w:val="nil"/>
              <w:bottom w:val="single" w:sz="8" w:space="0" w:color="auto"/>
              <w:right w:val="single" w:sz="8" w:space="0" w:color="auto"/>
            </w:tcBorders>
            <w:shd w:val="clear" w:color="auto" w:fill="auto"/>
            <w:noWrap/>
            <w:vAlign w:val="bottom"/>
            <w:hideMark/>
          </w:tcPr>
          <w:p w14:paraId="2EE90940" w14:textId="77777777" w:rsidR="00EA4AC4" w:rsidRPr="00756ED0" w:rsidRDefault="00EA4AC4">
            <w:pPr>
              <w:spacing w:after="0"/>
              <w:rPr>
                <w:rFonts w:cs="Arial"/>
                <w:sz w:val="20"/>
                <w:szCs w:val="20"/>
                <w:lang w:eastAsia="en-GB"/>
              </w:rPr>
            </w:pPr>
            <w:r w:rsidRPr="00756ED0">
              <w:rPr>
                <w:rFonts w:cs="Arial"/>
                <w:sz w:val="20"/>
                <w:szCs w:val="20"/>
                <w:lang w:eastAsia="en-GB"/>
              </w:rPr>
              <w:t> </w:t>
            </w:r>
          </w:p>
        </w:tc>
      </w:tr>
      <w:tr w:rsidR="00EA4AC4" w:rsidRPr="00756ED0" w14:paraId="1AD8D20A" w14:textId="77777777" w:rsidTr="00EA4AC4">
        <w:trPr>
          <w:trHeight w:val="376"/>
        </w:trPr>
        <w:tc>
          <w:tcPr>
            <w:tcW w:w="1637"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9FA174F" w14:textId="77777777" w:rsidR="00EA4AC4" w:rsidRPr="00756ED0" w:rsidRDefault="00EA4AC4">
            <w:pPr>
              <w:spacing w:after="0"/>
              <w:rPr>
                <w:rFonts w:cs="Arial"/>
                <w:b/>
                <w:bCs/>
                <w:sz w:val="20"/>
                <w:szCs w:val="20"/>
                <w:lang w:eastAsia="en-GB"/>
              </w:rPr>
            </w:pPr>
            <w:r w:rsidRPr="00756ED0">
              <w:rPr>
                <w:rFonts w:cs="Arial"/>
                <w:b/>
                <w:bCs/>
                <w:sz w:val="20"/>
                <w:szCs w:val="20"/>
                <w:lang w:eastAsia="en-GB"/>
              </w:rPr>
              <w:t>GRAND TOTAL</w:t>
            </w:r>
          </w:p>
        </w:tc>
        <w:tc>
          <w:tcPr>
            <w:tcW w:w="1164" w:type="dxa"/>
            <w:tcBorders>
              <w:top w:val="single" w:sz="8" w:space="0" w:color="auto"/>
              <w:left w:val="nil"/>
              <w:bottom w:val="single" w:sz="8" w:space="0" w:color="auto"/>
              <w:right w:val="single" w:sz="4" w:space="0" w:color="auto"/>
            </w:tcBorders>
            <w:shd w:val="clear" w:color="000000" w:fill="BFBFBF"/>
            <w:noWrap/>
            <w:vAlign w:val="center"/>
            <w:hideMark/>
          </w:tcPr>
          <w:p w14:paraId="6A5D14F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-431.311</w:t>
            </w:r>
          </w:p>
        </w:tc>
        <w:tc>
          <w:tcPr>
            <w:tcW w:w="1165" w:type="dxa"/>
            <w:tcBorders>
              <w:top w:val="single" w:sz="8" w:space="0" w:color="auto"/>
              <w:left w:val="nil"/>
              <w:bottom w:val="single" w:sz="8" w:space="0" w:color="auto"/>
              <w:right w:val="single" w:sz="4" w:space="0" w:color="auto"/>
            </w:tcBorders>
            <w:shd w:val="clear" w:color="000000" w:fill="BFBFBF"/>
            <w:noWrap/>
            <w:vAlign w:val="center"/>
            <w:hideMark/>
          </w:tcPr>
          <w:p w14:paraId="0FFAAE83"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74.563</w:t>
            </w:r>
          </w:p>
        </w:tc>
        <w:tc>
          <w:tcPr>
            <w:tcW w:w="1165" w:type="dxa"/>
            <w:tcBorders>
              <w:top w:val="single" w:sz="8" w:space="0" w:color="auto"/>
              <w:left w:val="nil"/>
              <w:bottom w:val="single" w:sz="8" w:space="0" w:color="auto"/>
              <w:right w:val="single" w:sz="4" w:space="0" w:color="auto"/>
            </w:tcBorders>
            <w:shd w:val="clear" w:color="000000" w:fill="BFBFBF"/>
            <w:noWrap/>
            <w:vAlign w:val="center"/>
            <w:hideMark/>
          </w:tcPr>
          <w:p w14:paraId="1F059C74"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-356.748</w:t>
            </w:r>
          </w:p>
        </w:tc>
        <w:tc>
          <w:tcPr>
            <w:tcW w:w="1165" w:type="dxa"/>
            <w:tcBorders>
              <w:top w:val="single" w:sz="8" w:space="0" w:color="auto"/>
              <w:left w:val="nil"/>
              <w:bottom w:val="single" w:sz="8" w:space="0" w:color="auto"/>
              <w:right w:val="single" w:sz="4" w:space="0" w:color="auto"/>
            </w:tcBorders>
            <w:shd w:val="clear" w:color="000000" w:fill="BFBFBF"/>
            <w:noWrap/>
            <w:vAlign w:val="center"/>
            <w:hideMark/>
          </w:tcPr>
          <w:p w14:paraId="354FBED8"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38.413</w:t>
            </w:r>
          </w:p>
        </w:tc>
        <w:tc>
          <w:tcPr>
            <w:tcW w:w="1165" w:type="dxa"/>
            <w:tcBorders>
              <w:top w:val="single" w:sz="8" w:space="0" w:color="auto"/>
              <w:left w:val="nil"/>
              <w:bottom w:val="single" w:sz="8" w:space="0" w:color="auto"/>
              <w:right w:val="single" w:sz="4" w:space="0" w:color="auto"/>
            </w:tcBorders>
            <w:shd w:val="clear" w:color="000000" w:fill="BFBFBF"/>
            <w:noWrap/>
            <w:vAlign w:val="center"/>
            <w:hideMark/>
          </w:tcPr>
          <w:p w14:paraId="4F5940DB"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23.016</w:t>
            </w:r>
          </w:p>
        </w:tc>
        <w:tc>
          <w:tcPr>
            <w:tcW w:w="1165" w:type="dxa"/>
            <w:tcBorders>
              <w:top w:val="nil"/>
              <w:left w:val="nil"/>
              <w:bottom w:val="single" w:sz="8" w:space="0" w:color="auto"/>
              <w:right w:val="single" w:sz="4" w:space="0" w:color="auto"/>
            </w:tcBorders>
            <w:shd w:val="clear" w:color="000000" w:fill="BFBFBF"/>
            <w:noWrap/>
            <w:vAlign w:val="center"/>
            <w:hideMark/>
          </w:tcPr>
          <w:p w14:paraId="2E19E9FA"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9.490</w:t>
            </w:r>
          </w:p>
        </w:tc>
        <w:tc>
          <w:tcPr>
            <w:tcW w:w="1165" w:type="dxa"/>
            <w:tcBorders>
              <w:top w:val="nil"/>
              <w:left w:val="nil"/>
              <w:bottom w:val="single" w:sz="8" w:space="0" w:color="auto"/>
              <w:right w:val="single" w:sz="8" w:space="0" w:color="auto"/>
            </w:tcBorders>
            <w:shd w:val="clear" w:color="000000" w:fill="BFBFBF"/>
            <w:noWrap/>
            <w:vAlign w:val="center"/>
            <w:hideMark/>
          </w:tcPr>
          <w:p w14:paraId="3331DC2F" w14:textId="77777777" w:rsidR="00EA4AC4" w:rsidRPr="00756ED0" w:rsidRDefault="00EA4AC4">
            <w:pPr>
              <w:spacing w:after="0"/>
              <w:jc w:val="center"/>
              <w:rPr>
                <w:rFonts w:cs="Arial"/>
                <w:b/>
                <w:bCs/>
                <w:sz w:val="20"/>
                <w:szCs w:val="20"/>
                <w:lang w:eastAsia="en-GB"/>
              </w:rPr>
            </w:pPr>
            <w:r w:rsidRPr="00756ED0">
              <w:rPr>
                <w:rFonts w:cs="Arial"/>
                <w:b/>
                <w:bCs/>
                <w:sz w:val="20"/>
                <w:szCs w:val="20"/>
                <w:lang w:eastAsia="en-GB"/>
              </w:rPr>
              <w:t>-285.829</w:t>
            </w:r>
          </w:p>
        </w:tc>
      </w:tr>
    </w:tbl>
    <w:p w14:paraId="4045F9BE" w14:textId="77777777" w:rsidR="00D33BE7" w:rsidRDefault="00D33BE7" w:rsidP="002A2F8C">
      <w:pPr>
        <w:spacing w:after="0"/>
        <w:ind w:right="-24"/>
        <w:jc w:val="both"/>
        <w:rPr>
          <w:rFonts w:cs="Arial"/>
        </w:rPr>
      </w:pPr>
    </w:p>
    <w:p w14:paraId="0BA10B29" w14:textId="7F425C10" w:rsidR="002A2F8C" w:rsidRPr="00756ED0" w:rsidRDefault="002A2F8C" w:rsidP="002A2F8C">
      <w:pPr>
        <w:spacing w:after="0"/>
        <w:ind w:right="-24"/>
        <w:jc w:val="both"/>
        <w:rPr>
          <w:rFonts w:cs="Arial"/>
        </w:rPr>
      </w:pPr>
      <w:r w:rsidRPr="00756ED0">
        <w:rPr>
          <w:rFonts w:cs="Arial"/>
        </w:rPr>
        <w:t xml:space="preserve">The County Fund shown at the top of Table </w:t>
      </w:r>
      <w:r w:rsidR="00490DCC">
        <w:rPr>
          <w:rFonts w:cs="Arial"/>
        </w:rPr>
        <w:t>8</w:t>
      </w:r>
      <w:r w:rsidRPr="00756ED0">
        <w:rPr>
          <w:rFonts w:cs="Arial"/>
        </w:rPr>
        <w:t xml:space="preserve"> is the balance set aside to cover the authority against a serious </w:t>
      </w:r>
      <w:bookmarkStart w:id="0" w:name="_Int_vQaF4mCk"/>
      <w:r w:rsidRPr="00756ED0">
        <w:rPr>
          <w:rFonts w:cs="Arial"/>
        </w:rPr>
        <w:t>emergency situation</w:t>
      </w:r>
      <w:bookmarkEnd w:id="0"/>
      <w:r w:rsidRPr="00756ED0">
        <w:rPr>
          <w:rFonts w:cs="Arial"/>
        </w:rPr>
        <w:t xml:space="preserve"> (</w:t>
      </w:r>
      <w:proofErr w:type="gramStart"/>
      <w:r w:rsidRPr="00756ED0">
        <w:rPr>
          <w:rFonts w:cs="Arial"/>
        </w:rPr>
        <w:t>e.g.</w:t>
      </w:r>
      <w:proofErr w:type="gramEnd"/>
      <w:r w:rsidRPr="00756ED0">
        <w:rPr>
          <w:rFonts w:cs="Arial"/>
        </w:rPr>
        <w:t xml:space="preserve"> widespread flooding); a critical and unexpected loss of income to the authority and for general cash flow purposes. In considering these various factors the county council is forecast to maintain its County Fund balance at £23.437m, equating to circa 2.</w:t>
      </w:r>
      <w:r w:rsidR="00D33BE7">
        <w:rPr>
          <w:rFonts w:cs="Arial"/>
        </w:rPr>
        <w:t>3</w:t>
      </w:r>
      <w:r w:rsidRPr="00756ED0">
        <w:rPr>
          <w:rFonts w:cs="Arial"/>
        </w:rPr>
        <w:t xml:space="preserve">% of net budget. </w:t>
      </w:r>
    </w:p>
    <w:p w14:paraId="3C35EA54" w14:textId="77777777" w:rsidR="002A2F8C" w:rsidRPr="00CD4BC8" w:rsidRDefault="002A2F8C" w:rsidP="002A2F8C">
      <w:pPr>
        <w:tabs>
          <w:tab w:val="left" w:pos="567"/>
          <w:tab w:val="left" w:pos="1134"/>
        </w:tabs>
        <w:spacing w:after="0"/>
        <w:jc w:val="both"/>
        <w:rPr>
          <w:rFonts w:cs="Arial"/>
          <w:highlight w:val="yellow"/>
        </w:rPr>
      </w:pPr>
    </w:p>
    <w:p w14:paraId="7B6B73F6" w14:textId="77777777" w:rsidR="002A2F8C" w:rsidRDefault="002A2F8C" w:rsidP="002A2F8C">
      <w:pPr>
        <w:tabs>
          <w:tab w:val="left" w:pos="567"/>
          <w:tab w:val="left" w:pos="1134"/>
        </w:tabs>
        <w:spacing w:after="0"/>
        <w:jc w:val="both"/>
        <w:rPr>
          <w:rFonts w:cs="Arial"/>
        </w:rPr>
      </w:pPr>
      <w:r w:rsidRPr="00756ED0">
        <w:rPr>
          <w:rFonts w:cs="Arial"/>
        </w:rPr>
        <w:t xml:space="preserve">The value of the uncommitted transitional reserve is currently forecast to be £188.533m by the end of March 2023 but this will also be impacted directly by the value of any final over or underspend for the current financial year. </w:t>
      </w:r>
    </w:p>
    <w:p w14:paraId="644CABFC" w14:textId="77777777" w:rsidR="002A2F8C" w:rsidRDefault="002A2F8C" w:rsidP="002A2F8C">
      <w:pPr>
        <w:tabs>
          <w:tab w:val="left" w:pos="567"/>
          <w:tab w:val="left" w:pos="1134"/>
        </w:tabs>
        <w:spacing w:after="0"/>
        <w:jc w:val="both"/>
        <w:rPr>
          <w:rFonts w:cs="Arial"/>
        </w:rPr>
      </w:pPr>
    </w:p>
    <w:p w14:paraId="6C6EDA0E" w14:textId="77777777" w:rsidR="002A2F8C" w:rsidRPr="00756ED0" w:rsidRDefault="002A2F8C" w:rsidP="002A2F8C">
      <w:pPr>
        <w:tabs>
          <w:tab w:val="left" w:pos="567"/>
          <w:tab w:val="left" w:pos="1134"/>
        </w:tabs>
        <w:spacing w:after="0"/>
        <w:jc w:val="both"/>
        <w:rPr>
          <w:rFonts w:cs="Arial"/>
        </w:rPr>
      </w:pPr>
      <w:r>
        <w:rPr>
          <w:rFonts w:cs="Arial"/>
        </w:rPr>
        <w:t xml:space="preserve">In 2023/24, an additional commitment has been included of c£2.2m to provide match funding for the UK Shared Prosperity Fund programme, which will link with businesses and the already established Boost programme. </w:t>
      </w:r>
    </w:p>
    <w:p w14:paraId="73B0406C" w14:textId="77777777" w:rsidR="002A2F8C" w:rsidRPr="00CD4BC8" w:rsidRDefault="002A2F8C" w:rsidP="002A2F8C">
      <w:pPr>
        <w:tabs>
          <w:tab w:val="left" w:pos="567"/>
          <w:tab w:val="left" w:pos="1134"/>
        </w:tabs>
        <w:spacing w:after="0"/>
        <w:jc w:val="both"/>
        <w:rPr>
          <w:rFonts w:cs="Arial"/>
          <w:highlight w:val="yellow"/>
        </w:rPr>
      </w:pPr>
    </w:p>
    <w:p w14:paraId="4BA45A75" w14:textId="2057ABBF" w:rsidR="002A2F8C" w:rsidRPr="00756ED0" w:rsidRDefault="002A2F8C" w:rsidP="002A2F8C">
      <w:pPr>
        <w:spacing w:after="0"/>
        <w:jc w:val="both"/>
        <w:textAlignment w:val="baseline"/>
        <w:rPr>
          <w:rFonts w:cs="Arial"/>
        </w:rPr>
      </w:pPr>
      <w:r w:rsidRPr="00756ED0">
        <w:rPr>
          <w:rFonts w:eastAsia="Arial" w:cs="Arial"/>
        </w:rPr>
        <w:t xml:space="preserve">The value of the uncommitted transitional reserve is currently forecast to be sufficient to meet the forecast funding gap for the lifetime of the </w:t>
      </w:r>
      <w:proofErr w:type="gramStart"/>
      <w:r w:rsidRPr="00756ED0">
        <w:rPr>
          <w:rFonts w:eastAsia="Arial" w:cs="Arial"/>
        </w:rPr>
        <w:t>medium</w:t>
      </w:r>
      <w:r>
        <w:rPr>
          <w:rFonts w:eastAsia="Arial" w:cs="Arial"/>
        </w:rPr>
        <w:t xml:space="preserve"> </w:t>
      </w:r>
      <w:r w:rsidRPr="00756ED0">
        <w:rPr>
          <w:rFonts w:eastAsia="Arial" w:cs="Arial"/>
        </w:rPr>
        <w:t>term</w:t>
      </w:r>
      <w:proofErr w:type="gramEnd"/>
      <w:r w:rsidRPr="00756ED0">
        <w:rPr>
          <w:rFonts w:eastAsia="Arial" w:cs="Arial"/>
        </w:rPr>
        <w:t xml:space="preserve"> financial strategy, as shown in Table </w:t>
      </w:r>
      <w:r w:rsidR="00490DCC">
        <w:rPr>
          <w:rFonts w:eastAsia="Arial" w:cs="Arial"/>
        </w:rPr>
        <w:t>9</w:t>
      </w:r>
      <w:r w:rsidRPr="00756ED0">
        <w:rPr>
          <w:rFonts w:eastAsia="Arial" w:cs="Arial"/>
        </w:rPr>
        <w:t xml:space="preserve">. However, </w:t>
      </w:r>
      <w:r w:rsidR="00425DE4">
        <w:rPr>
          <w:rFonts w:eastAsia="Arial" w:cs="Arial"/>
        </w:rPr>
        <w:t>the intention remains to id</w:t>
      </w:r>
      <w:r w:rsidRPr="00756ED0">
        <w:rPr>
          <w:rFonts w:eastAsia="Arial" w:cs="Arial"/>
        </w:rPr>
        <w:t xml:space="preserve">entify further savings and/or deliver savings earlier than currently planned </w:t>
      </w:r>
      <w:r w:rsidR="00425DE4">
        <w:rPr>
          <w:rFonts w:eastAsia="Arial" w:cs="Arial"/>
        </w:rPr>
        <w:t>to reduce the requirement for reserves to meet forecast funding gaps and deliver a balanced and sustainable financial position.</w:t>
      </w:r>
      <w:r w:rsidR="00FA40FD">
        <w:rPr>
          <w:rFonts w:eastAsia="Arial" w:cs="Arial"/>
        </w:rPr>
        <w:t xml:space="preserve"> </w:t>
      </w:r>
      <w:r w:rsidR="00607FA3">
        <w:t>The value of the County Fund will be kept under review in future years including ongoing assessment of risks that it is established to cover. The relatively healthy uncommitted transitional reserve level al</w:t>
      </w:r>
      <w:r w:rsidR="00CD2786">
        <w:t xml:space="preserve">so supports and </w:t>
      </w:r>
      <w:proofErr w:type="gramStart"/>
      <w:r w:rsidR="00CD2786">
        <w:t>mitigates  emergency</w:t>
      </w:r>
      <w:proofErr w:type="gramEnd"/>
      <w:r w:rsidR="00CD2786">
        <w:t xml:space="preserve"> situations. </w:t>
      </w:r>
    </w:p>
    <w:p w14:paraId="7B2F11A4" w14:textId="77777777" w:rsidR="002A2F8C" w:rsidRPr="00756ED0" w:rsidRDefault="002A2F8C" w:rsidP="002A2F8C">
      <w:pPr>
        <w:spacing w:after="0"/>
        <w:rPr>
          <w:rFonts w:cs="Arial"/>
        </w:rPr>
      </w:pPr>
    </w:p>
    <w:p w14:paraId="57C4CA4C" w14:textId="4AF74098" w:rsidR="002A2F8C" w:rsidRPr="00756ED0" w:rsidRDefault="002A2F8C" w:rsidP="002A2F8C">
      <w:pPr>
        <w:tabs>
          <w:tab w:val="left" w:pos="567"/>
          <w:tab w:val="left" w:pos="1134"/>
        </w:tabs>
        <w:spacing w:after="0"/>
        <w:rPr>
          <w:rFonts w:cs="Arial"/>
          <w:b/>
          <w:i/>
          <w:u w:val="single"/>
        </w:rPr>
      </w:pPr>
      <w:r w:rsidRPr="00756ED0">
        <w:rPr>
          <w:rFonts w:cs="Arial"/>
          <w:b/>
          <w:i/>
          <w:u w:val="single"/>
        </w:rPr>
        <w:t xml:space="preserve">Table </w:t>
      </w:r>
      <w:r w:rsidR="00490DCC">
        <w:rPr>
          <w:rFonts w:cs="Arial"/>
          <w:b/>
          <w:i/>
          <w:u w:val="single"/>
        </w:rPr>
        <w:t>9</w:t>
      </w:r>
    </w:p>
    <w:p w14:paraId="33919A0E" w14:textId="77777777" w:rsidR="002A2F8C" w:rsidRPr="00CD4BC8" w:rsidRDefault="002A2F8C" w:rsidP="002A2F8C">
      <w:pPr>
        <w:tabs>
          <w:tab w:val="left" w:pos="567"/>
          <w:tab w:val="left" w:pos="1134"/>
        </w:tabs>
        <w:spacing w:after="0"/>
        <w:rPr>
          <w:rFonts w:cs="Arial"/>
          <w:b/>
          <w:i/>
          <w:highlight w:val="yellow"/>
          <w:u w:val="single"/>
        </w:rPr>
      </w:pPr>
    </w:p>
    <w:tbl>
      <w:tblPr>
        <w:tblW w:w="9062" w:type="dxa"/>
        <w:tblLook w:val="04A0" w:firstRow="1" w:lastRow="0" w:firstColumn="1" w:lastColumn="0" w:noHBand="0" w:noVBand="1"/>
      </w:tblPr>
      <w:tblGrid>
        <w:gridCol w:w="3141"/>
        <w:gridCol w:w="1480"/>
        <w:gridCol w:w="1480"/>
        <w:gridCol w:w="1480"/>
        <w:gridCol w:w="1481"/>
      </w:tblGrid>
      <w:tr w:rsidR="002A2F8C" w:rsidRPr="00756668" w14:paraId="66CE4F8E" w14:textId="77777777">
        <w:trPr>
          <w:trHeight w:val="330"/>
        </w:trPr>
        <w:tc>
          <w:tcPr>
            <w:tcW w:w="314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3CFD9C2" w14:textId="77777777" w:rsidR="002A2F8C" w:rsidRPr="00756668" w:rsidRDefault="002A2F8C">
            <w:pPr>
              <w:spacing w:after="0"/>
              <w:rPr>
                <w:rFonts w:cs="Arial"/>
                <w:b/>
                <w:bCs/>
                <w:lang w:eastAsia="en-GB"/>
              </w:rPr>
            </w:pPr>
            <w:r w:rsidRPr="00756668">
              <w:rPr>
                <w:rFonts w:cs="Arial"/>
                <w:b/>
                <w:bCs/>
                <w:lang w:eastAsia="en-GB"/>
              </w:rPr>
              <w:t> </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07E1DD0B" w14:textId="77777777" w:rsidR="002A2F8C" w:rsidRPr="00756668" w:rsidRDefault="002A2F8C">
            <w:pPr>
              <w:spacing w:after="0"/>
              <w:jc w:val="right"/>
              <w:rPr>
                <w:rFonts w:cs="Arial"/>
                <w:b/>
                <w:bCs/>
                <w:lang w:eastAsia="en-GB"/>
              </w:rPr>
            </w:pPr>
            <w:r w:rsidRPr="00756668">
              <w:rPr>
                <w:rFonts w:cs="Arial"/>
                <w:b/>
                <w:bCs/>
                <w:lang w:eastAsia="en-GB"/>
              </w:rPr>
              <w:t>2023/24</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7EE9A252" w14:textId="77777777" w:rsidR="002A2F8C" w:rsidRPr="00756668" w:rsidRDefault="002A2F8C">
            <w:pPr>
              <w:spacing w:after="0"/>
              <w:jc w:val="right"/>
              <w:rPr>
                <w:rFonts w:cs="Arial"/>
                <w:b/>
                <w:bCs/>
                <w:lang w:eastAsia="en-GB"/>
              </w:rPr>
            </w:pPr>
            <w:r w:rsidRPr="00756668">
              <w:rPr>
                <w:rFonts w:cs="Arial"/>
                <w:b/>
                <w:bCs/>
                <w:lang w:eastAsia="en-GB"/>
              </w:rPr>
              <w:t>2024/25</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4050DE3" w14:textId="77777777" w:rsidR="002A2F8C" w:rsidRPr="00756668" w:rsidRDefault="002A2F8C">
            <w:pPr>
              <w:spacing w:after="0"/>
              <w:jc w:val="right"/>
              <w:rPr>
                <w:rFonts w:cs="Arial"/>
                <w:b/>
                <w:bCs/>
                <w:lang w:eastAsia="en-GB"/>
              </w:rPr>
            </w:pPr>
            <w:r w:rsidRPr="00756668">
              <w:rPr>
                <w:rFonts w:cs="Arial"/>
                <w:b/>
                <w:bCs/>
                <w:lang w:eastAsia="en-GB"/>
              </w:rPr>
              <w:t>2025/26</w:t>
            </w:r>
          </w:p>
        </w:tc>
        <w:tc>
          <w:tcPr>
            <w:tcW w:w="1481" w:type="dxa"/>
            <w:tcBorders>
              <w:top w:val="single" w:sz="8" w:space="0" w:color="auto"/>
              <w:left w:val="nil"/>
              <w:bottom w:val="single" w:sz="8" w:space="0" w:color="auto"/>
              <w:right w:val="single" w:sz="8" w:space="0" w:color="auto"/>
            </w:tcBorders>
            <w:shd w:val="clear" w:color="000000" w:fill="BFBFBF"/>
            <w:vAlign w:val="center"/>
            <w:hideMark/>
          </w:tcPr>
          <w:p w14:paraId="30F29F19" w14:textId="77777777" w:rsidR="002A2F8C" w:rsidRPr="00756668" w:rsidRDefault="002A2F8C">
            <w:pPr>
              <w:spacing w:after="0"/>
              <w:jc w:val="right"/>
              <w:rPr>
                <w:rFonts w:cs="Arial"/>
                <w:b/>
                <w:bCs/>
                <w:lang w:eastAsia="en-GB"/>
              </w:rPr>
            </w:pPr>
            <w:r w:rsidRPr="00756668">
              <w:rPr>
                <w:rFonts w:cs="Arial"/>
                <w:b/>
                <w:bCs/>
                <w:lang w:eastAsia="en-GB"/>
              </w:rPr>
              <w:t>2026/27</w:t>
            </w:r>
          </w:p>
        </w:tc>
      </w:tr>
      <w:tr w:rsidR="002A2F8C" w:rsidRPr="00756668" w14:paraId="5DE5E8CE" w14:textId="77777777">
        <w:trPr>
          <w:trHeight w:val="330"/>
        </w:trPr>
        <w:tc>
          <w:tcPr>
            <w:tcW w:w="3141" w:type="dxa"/>
            <w:tcBorders>
              <w:top w:val="nil"/>
              <w:left w:val="single" w:sz="8" w:space="0" w:color="auto"/>
              <w:bottom w:val="single" w:sz="8" w:space="0" w:color="auto"/>
              <w:right w:val="single" w:sz="8" w:space="0" w:color="auto"/>
            </w:tcBorders>
            <w:shd w:val="clear" w:color="000000" w:fill="BFBFBF"/>
            <w:vAlign w:val="center"/>
            <w:hideMark/>
          </w:tcPr>
          <w:p w14:paraId="13CEF3BF" w14:textId="77777777" w:rsidR="002A2F8C" w:rsidRPr="00756668" w:rsidRDefault="002A2F8C">
            <w:pPr>
              <w:spacing w:after="0"/>
              <w:rPr>
                <w:rFonts w:cs="Arial"/>
                <w:b/>
                <w:bCs/>
                <w:lang w:eastAsia="en-GB"/>
              </w:rPr>
            </w:pPr>
            <w:r w:rsidRPr="00756668">
              <w:rPr>
                <w:rFonts w:cs="Arial"/>
                <w:b/>
                <w:bCs/>
                <w:lang w:eastAsia="en-GB"/>
              </w:rPr>
              <w:t> </w:t>
            </w:r>
          </w:p>
        </w:tc>
        <w:tc>
          <w:tcPr>
            <w:tcW w:w="1480" w:type="dxa"/>
            <w:tcBorders>
              <w:top w:val="nil"/>
              <w:left w:val="nil"/>
              <w:bottom w:val="single" w:sz="8" w:space="0" w:color="auto"/>
              <w:right w:val="single" w:sz="8" w:space="0" w:color="auto"/>
            </w:tcBorders>
            <w:shd w:val="clear" w:color="000000" w:fill="BFBFBF"/>
            <w:vAlign w:val="center"/>
            <w:hideMark/>
          </w:tcPr>
          <w:p w14:paraId="0569B537" w14:textId="77777777" w:rsidR="002A2F8C" w:rsidRPr="00756668" w:rsidRDefault="002A2F8C">
            <w:pPr>
              <w:spacing w:after="0"/>
              <w:jc w:val="center"/>
              <w:rPr>
                <w:rFonts w:cs="Arial"/>
                <w:b/>
                <w:bCs/>
                <w:lang w:eastAsia="en-GB"/>
              </w:rPr>
            </w:pPr>
            <w:r w:rsidRPr="00756668">
              <w:rPr>
                <w:rFonts w:cs="Arial"/>
                <w:b/>
                <w:bCs/>
                <w:lang w:eastAsia="en-GB"/>
              </w:rPr>
              <w:t>£m</w:t>
            </w:r>
          </w:p>
        </w:tc>
        <w:tc>
          <w:tcPr>
            <w:tcW w:w="1480" w:type="dxa"/>
            <w:tcBorders>
              <w:top w:val="nil"/>
              <w:left w:val="nil"/>
              <w:bottom w:val="single" w:sz="8" w:space="0" w:color="auto"/>
              <w:right w:val="single" w:sz="8" w:space="0" w:color="auto"/>
            </w:tcBorders>
            <w:shd w:val="clear" w:color="000000" w:fill="BFBFBF"/>
            <w:vAlign w:val="center"/>
            <w:hideMark/>
          </w:tcPr>
          <w:p w14:paraId="4359B5C1" w14:textId="77777777" w:rsidR="002A2F8C" w:rsidRPr="00756668" w:rsidRDefault="002A2F8C">
            <w:pPr>
              <w:spacing w:after="0"/>
              <w:jc w:val="center"/>
              <w:rPr>
                <w:rFonts w:cs="Arial"/>
                <w:b/>
                <w:bCs/>
                <w:lang w:eastAsia="en-GB"/>
              </w:rPr>
            </w:pPr>
            <w:r w:rsidRPr="00756668">
              <w:rPr>
                <w:rFonts w:cs="Arial"/>
                <w:b/>
                <w:bCs/>
                <w:lang w:eastAsia="en-GB"/>
              </w:rPr>
              <w:t>£m</w:t>
            </w:r>
          </w:p>
        </w:tc>
        <w:tc>
          <w:tcPr>
            <w:tcW w:w="1480" w:type="dxa"/>
            <w:tcBorders>
              <w:top w:val="nil"/>
              <w:left w:val="nil"/>
              <w:bottom w:val="single" w:sz="8" w:space="0" w:color="auto"/>
              <w:right w:val="single" w:sz="8" w:space="0" w:color="auto"/>
            </w:tcBorders>
            <w:shd w:val="clear" w:color="000000" w:fill="BFBFBF"/>
            <w:vAlign w:val="center"/>
            <w:hideMark/>
          </w:tcPr>
          <w:p w14:paraId="639E7E7C" w14:textId="77777777" w:rsidR="002A2F8C" w:rsidRPr="00756668" w:rsidRDefault="002A2F8C">
            <w:pPr>
              <w:spacing w:after="0"/>
              <w:jc w:val="center"/>
              <w:rPr>
                <w:rFonts w:cs="Arial"/>
                <w:b/>
                <w:bCs/>
                <w:lang w:eastAsia="en-GB"/>
              </w:rPr>
            </w:pPr>
            <w:r w:rsidRPr="00756668">
              <w:rPr>
                <w:rFonts w:cs="Arial"/>
                <w:b/>
                <w:bCs/>
                <w:lang w:eastAsia="en-GB"/>
              </w:rPr>
              <w:t>£m</w:t>
            </w:r>
          </w:p>
        </w:tc>
        <w:tc>
          <w:tcPr>
            <w:tcW w:w="1481" w:type="dxa"/>
            <w:tcBorders>
              <w:top w:val="nil"/>
              <w:left w:val="nil"/>
              <w:bottom w:val="single" w:sz="8" w:space="0" w:color="auto"/>
              <w:right w:val="single" w:sz="8" w:space="0" w:color="auto"/>
            </w:tcBorders>
            <w:shd w:val="clear" w:color="000000" w:fill="BFBFBF"/>
            <w:vAlign w:val="center"/>
            <w:hideMark/>
          </w:tcPr>
          <w:p w14:paraId="52673EED" w14:textId="77777777" w:rsidR="002A2F8C" w:rsidRPr="00756668" w:rsidRDefault="002A2F8C">
            <w:pPr>
              <w:spacing w:after="0"/>
              <w:jc w:val="center"/>
              <w:rPr>
                <w:rFonts w:cs="Arial"/>
                <w:b/>
                <w:bCs/>
                <w:lang w:eastAsia="en-GB"/>
              </w:rPr>
            </w:pPr>
            <w:r w:rsidRPr="00756668">
              <w:rPr>
                <w:rFonts w:cs="Arial"/>
                <w:b/>
                <w:bCs/>
                <w:lang w:eastAsia="en-GB"/>
              </w:rPr>
              <w:t>£m</w:t>
            </w:r>
          </w:p>
        </w:tc>
      </w:tr>
      <w:tr w:rsidR="002A2F8C" w:rsidRPr="00756668" w14:paraId="0C6E14CD" w14:textId="77777777">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58211774" w14:textId="77777777" w:rsidR="002A2F8C" w:rsidRPr="00756668" w:rsidRDefault="002A2F8C">
            <w:pPr>
              <w:spacing w:after="0"/>
              <w:rPr>
                <w:rFonts w:cs="Arial"/>
                <w:b/>
                <w:bCs/>
                <w:lang w:eastAsia="en-GB"/>
              </w:rPr>
            </w:pPr>
            <w:r w:rsidRPr="00756668">
              <w:rPr>
                <w:rFonts w:cs="Arial"/>
                <w:b/>
                <w:bCs/>
                <w:lang w:eastAsia="en-GB"/>
              </w:rPr>
              <w:t>Opening Balance</w:t>
            </w:r>
          </w:p>
        </w:tc>
        <w:tc>
          <w:tcPr>
            <w:tcW w:w="1480" w:type="dxa"/>
            <w:tcBorders>
              <w:top w:val="nil"/>
              <w:left w:val="nil"/>
              <w:bottom w:val="single" w:sz="8" w:space="0" w:color="auto"/>
              <w:right w:val="single" w:sz="8" w:space="0" w:color="auto"/>
            </w:tcBorders>
            <w:shd w:val="clear" w:color="000000" w:fill="FFFFFF"/>
            <w:vAlign w:val="center"/>
            <w:hideMark/>
          </w:tcPr>
          <w:p w14:paraId="088D9735" w14:textId="77777777" w:rsidR="002A2F8C" w:rsidRPr="00756668" w:rsidRDefault="002A2F8C">
            <w:pPr>
              <w:spacing w:after="0"/>
              <w:jc w:val="right"/>
              <w:rPr>
                <w:rFonts w:cs="Arial"/>
                <w:lang w:eastAsia="en-GB"/>
              </w:rPr>
            </w:pPr>
            <w:r w:rsidRPr="00756668">
              <w:rPr>
                <w:rFonts w:cs="Arial"/>
                <w:lang w:eastAsia="en-GB"/>
              </w:rPr>
              <w:t>188.533</w:t>
            </w:r>
          </w:p>
        </w:tc>
        <w:tc>
          <w:tcPr>
            <w:tcW w:w="1480" w:type="dxa"/>
            <w:tcBorders>
              <w:top w:val="nil"/>
              <w:left w:val="nil"/>
              <w:bottom w:val="single" w:sz="8" w:space="0" w:color="auto"/>
              <w:right w:val="single" w:sz="8" w:space="0" w:color="auto"/>
            </w:tcBorders>
            <w:shd w:val="clear" w:color="auto" w:fill="auto"/>
            <w:vAlign w:val="center"/>
            <w:hideMark/>
          </w:tcPr>
          <w:p w14:paraId="3AEE8C78" w14:textId="69AB9D87" w:rsidR="002A2F8C" w:rsidRPr="00756668" w:rsidRDefault="002A2F8C">
            <w:pPr>
              <w:spacing w:after="0"/>
              <w:jc w:val="right"/>
              <w:rPr>
                <w:rFonts w:cs="Arial"/>
                <w:lang w:eastAsia="en-GB"/>
              </w:rPr>
            </w:pPr>
            <w:r w:rsidRPr="00756668">
              <w:rPr>
                <w:rFonts w:cs="Arial"/>
                <w:lang w:eastAsia="en-GB"/>
              </w:rPr>
              <w:t>17</w:t>
            </w:r>
            <w:r w:rsidR="00D33BE7">
              <w:rPr>
                <w:rFonts w:cs="Arial"/>
                <w:lang w:eastAsia="en-GB"/>
              </w:rPr>
              <w:t>2.122</w:t>
            </w:r>
          </w:p>
        </w:tc>
        <w:tc>
          <w:tcPr>
            <w:tcW w:w="1480" w:type="dxa"/>
            <w:tcBorders>
              <w:top w:val="nil"/>
              <w:left w:val="nil"/>
              <w:bottom w:val="single" w:sz="8" w:space="0" w:color="auto"/>
              <w:right w:val="single" w:sz="8" w:space="0" w:color="auto"/>
            </w:tcBorders>
            <w:shd w:val="clear" w:color="auto" w:fill="auto"/>
            <w:vAlign w:val="center"/>
            <w:hideMark/>
          </w:tcPr>
          <w:p w14:paraId="6C8FA49E" w14:textId="79B4AD84" w:rsidR="002A2F8C" w:rsidRPr="00756668" w:rsidRDefault="002A2F8C">
            <w:pPr>
              <w:spacing w:after="0"/>
              <w:jc w:val="right"/>
              <w:rPr>
                <w:rFonts w:cs="Arial"/>
                <w:lang w:eastAsia="en-GB"/>
              </w:rPr>
            </w:pPr>
            <w:r w:rsidRPr="00756668">
              <w:rPr>
                <w:rFonts w:cs="Arial"/>
                <w:lang w:eastAsia="en-GB"/>
              </w:rPr>
              <w:t>17</w:t>
            </w:r>
            <w:r w:rsidR="00D33BE7">
              <w:rPr>
                <w:rFonts w:cs="Arial"/>
                <w:lang w:eastAsia="en-GB"/>
              </w:rPr>
              <w:t>7.114</w:t>
            </w:r>
          </w:p>
        </w:tc>
        <w:tc>
          <w:tcPr>
            <w:tcW w:w="1481" w:type="dxa"/>
            <w:tcBorders>
              <w:top w:val="nil"/>
              <w:left w:val="nil"/>
              <w:bottom w:val="single" w:sz="8" w:space="0" w:color="auto"/>
              <w:right w:val="single" w:sz="8" w:space="0" w:color="auto"/>
            </w:tcBorders>
            <w:shd w:val="clear" w:color="auto" w:fill="auto"/>
            <w:vAlign w:val="center"/>
            <w:hideMark/>
          </w:tcPr>
          <w:p w14:paraId="5DAB371C" w14:textId="144ED3A4" w:rsidR="002A2F8C" w:rsidRPr="00756668" w:rsidRDefault="002A2F8C">
            <w:pPr>
              <w:spacing w:after="0"/>
              <w:jc w:val="right"/>
              <w:rPr>
                <w:rFonts w:cs="Arial"/>
                <w:lang w:eastAsia="en-GB"/>
              </w:rPr>
            </w:pPr>
            <w:r w:rsidRPr="00756668">
              <w:rPr>
                <w:rFonts w:cs="Arial"/>
                <w:lang w:eastAsia="en-GB"/>
              </w:rPr>
              <w:t>16</w:t>
            </w:r>
            <w:r w:rsidR="00D33BE7">
              <w:rPr>
                <w:rFonts w:cs="Arial"/>
                <w:lang w:eastAsia="en-GB"/>
              </w:rPr>
              <w:t>6.513</w:t>
            </w:r>
          </w:p>
        </w:tc>
      </w:tr>
      <w:tr w:rsidR="002A2F8C" w:rsidRPr="00756668" w14:paraId="4B09943C" w14:textId="77777777">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7620B7F6" w14:textId="77777777" w:rsidR="002A2F8C" w:rsidRPr="00756668" w:rsidRDefault="002A2F8C">
            <w:pPr>
              <w:spacing w:after="0"/>
              <w:rPr>
                <w:rFonts w:cs="Arial"/>
                <w:b/>
                <w:bCs/>
                <w:lang w:eastAsia="en-GB"/>
              </w:rPr>
            </w:pPr>
            <w:r w:rsidRPr="00756668">
              <w:rPr>
                <w:rFonts w:cs="Arial"/>
                <w:b/>
                <w:bCs/>
                <w:lang w:eastAsia="en-GB"/>
              </w:rPr>
              <w:t>Gap funding</w:t>
            </w:r>
          </w:p>
        </w:tc>
        <w:tc>
          <w:tcPr>
            <w:tcW w:w="1480" w:type="dxa"/>
            <w:tcBorders>
              <w:top w:val="nil"/>
              <w:left w:val="nil"/>
              <w:bottom w:val="single" w:sz="8" w:space="0" w:color="auto"/>
              <w:right w:val="single" w:sz="8" w:space="0" w:color="auto"/>
            </w:tcBorders>
            <w:shd w:val="clear" w:color="auto" w:fill="auto"/>
            <w:vAlign w:val="center"/>
            <w:hideMark/>
          </w:tcPr>
          <w:p w14:paraId="603E611C" w14:textId="26769076" w:rsidR="002A2F8C" w:rsidRPr="00756668" w:rsidRDefault="002A2F8C">
            <w:pPr>
              <w:spacing w:after="0"/>
              <w:jc w:val="right"/>
              <w:rPr>
                <w:rFonts w:cs="Arial"/>
                <w:lang w:eastAsia="en-GB"/>
              </w:rPr>
            </w:pPr>
            <w:r w:rsidRPr="00756668">
              <w:rPr>
                <w:rFonts w:cs="Arial"/>
                <w:lang w:eastAsia="en-GB"/>
              </w:rPr>
              <w:t>9.</w:t>
            </w:r>
            <w:r w:rsidR="00D33BE7">
              <w:rPr>
                <w:rFonts w:cs="Arial"/>
                <w:lang w:eastAsia="en-GB"/>
              </w:rPr>
              <w:t>162</w:t>
            </w:r>
          </w:p>
        </w:tc>
        <w:tc>
          <w:tcPr>
            <w:tcW w:w="1480" w:type="dxa"/>
            <w:tcBorders>
              <w:top w:val="nil"/>
              <w:left w:val="nil"/>
              <w:bottom w:val="single" w:sz="8" w:space="0" w:color="auto"/>
              <w:right w:val="single" w:sz="8" w:space="0" w:color="auto"/>
            </w:tcBorders>
            <w:shd w:val="clear" w:color="auto" w:fill="auto"/>
            <w:vAlign w:val="center"/>
            <w:hideMark/>
          </w:tcPr>
          <w:p w14:paraId="54205C0B" w14:textId="77DA8BFE" w:rsidR="002A2F8C" w:rsidRPr="00756668" w:rsidRDefault="002A2F8C">
            <w:pPr>
              <w:spacing w:after="0"/>
              <w:jc w:val="right"/>
              <w:rPr>
                <w:rFonts w:cs="Arial"/>
                <w:lang w:eastAsia="en-GB"/>
              </w:rPr>
            </w:pPr>
            <w:r w:rsidRPr="00756668">
              <w:rPr>
                <w:rFonts w:cs="Arial"/>
                <w:lang w:eastAsia="en-GB"/>
              </w:rPr>
              <w:t>-</w:t>
            </w:r>
            <w:r w:rsidR="00D33BE7">
              <w:rPr>
                <w:rFonts w:cs="Arial"/>
                <w:lang w:eastAsia="en-GB"/>
              </w:rPr>
              <w:t>8.325</w:t>
            </w:r>
          </w:p>
        </w:tc>
        <w:tc>
          <w:tcPr>
            <w:tcW w:w="1480" w:type="dxa"/>
            <w:tcBorders>
              <w:top w:val="nil"/>
              <w:left w:val="nil"/>
              <w:bottom w:val="single" w:sz="8" w:space="0" w:color="auto"/>
              <w:right w:val="single" w:sz="8" w:space="0" w:color="auto"/>
            </w:tcBorders>
            <w:shd w:val="clear" w:color="auto" w:fill="auto"/>
            <w:vAlign w:val="center"/>
            <w:hideMark/>
          </w:tcPr>
          <w:p w14:paraId="7877E8E9" w14:textId="5B381C05" w:rsidR="002A2F8C" w:rsidRPr="00756668" w:rsidRDefault="002A2F8C">
            <w:pPr>
              <w:spacing w:after="0"/>
              <w:jc w:val="right"/>
              <w:rPr>
                <w:rFonts w:cs="Arial"/>
                <w:lang w:eastAsia="en-GB"/>
              </w:rPr>
            </w:pPr>
            <w:r w:rsidRPr="00756668">
              <w:rPr>
                <w:rFonts w:cs="Arial"/>
                <w:lang w:eastAsia="en-GB"/>
              </w:rPr>
              <w:t>10.</w:t>
            </w:r>
            <w:r w:rsidR="00D33BE7">
              <w:rPr>
                <w:rFonts w:cs="Arial"/>
                <w:lang w:eastAsia="en-GB"/>
              </w:rPr>
              <w:t>601</w:t>
            </w:r>
          </w:p>
        </w:tc>
        <w:tc>
          <w:tcPr>
            <w:tcW w:w="1481" w:type="dxa"/>
            <w:tcBorders>
              <w:top w:val="nil"/>
              <w:left w:val="nil"/>
              <w:bottom w:val="single" w:sz="8" w:space="0" w:color="auto"/>
              <w:right w:val="single" w:sz="8" w:space="0" w:color="auto"/>
            </w:tcBorders>
            <w:shd w:val="clear" w:color="auto" w:fill="auto"/>
            <w:vAlign w:val="center"/>
            <w:hideMark/>
          </w:tcPr>
          <w:p w14:paraId="2B2F2776" w14:textId="169C6B0B" w:rsidR="002A2F8C" w:rsidRPr="00756668" w:rsidRDefault="002A2F8C">
            <w:pPr>
              <w:spacing w:after="0"/>
              <w:jc w:val="right"/>
              <w:rPr>
                <w:rFonts w:cs="Arial"/>
                <w:lang w:eastAsia="en-GB"/>
              </w:rPr>
            </w:pPr>
            <w:r w:rsidRPr="00756668">
              <w:rPr>
                <w:rFonts w:cs="Arial"/>
                <w:lang w:eastAsia="en-GB"/>
              </w:rPr>
              <w:t>2</w:t>
            </w:r>
            <w:r w:rsidR="00D33BE7">
              <w:rPr>
                <w:rFonts w:cs="Arial"/>
                <w:lang w:eastAsia="en-GB"/>
              </w:rPr>
              <w:t>2.890</w:t>
            </w:r>
          </w:p>
        </w:tc>
      </w:tr>
      <w:tr w:rsidR="002A2F8C" w:rsidRPr="00756668" w14:paraId="0CC6640E" w14:textId="77777777">
        <w:trPr>
          <w:trHeight w:val="330"/>
        </w:trPr>
        <w:tc>
          <w:tcPr>
            <w:tcW w:w="3141" w:type="dxa"/>
            <w:tcBorders>
              <w:top w:val="nil"/>
              <w:left w:val="single" w:sz="8" w:space="0" w:color="auto"/>
              <w:bottom w:val="single" w:sz="8" w:space="0" w:color="auto"/>
              <w:right w:val="single" w:sz="8" w:space="0" w:color="auto"/>
            </w:tcBorders>
            <w:shd w:val="clear" w:color="auto" w:fill="auto"/>
            <w:vAlign w:val="center"/>
            <w:hideMark/>
          </w:tcPr>
          <w:p w14:paraId="4988AEBE" w14:textId="77777777" w:rsidR="002A2F8C" w:rsidRPr="00756668" w:rsidRDefault="002A2F8C">
            <w:pPr>
              <w:spacing w:after="0"/>
              <w:rPr>
                <w:rFonts w:cs="Arial"/>
                <w:b/>
                <w:bCs/>
                <w:lang w:eastAsia="en-GB"/>
              </w:rPr>
            </w:pPr>
            <w:r w:rsidRPr="00756668">
              <w:rPr>
                <w:rFonts w:cs="Arial"/>
                <w:b/>
                <w:bCs/>
                <w:lang w:eastAsia="en-GB"/>
              </w:rPr>
              <w:t>Commitments</w:t>
            </w:r>
          </w:p>
        </w:tc>
        <w:tc>
          <w:tcPr>
            <w:tcW w:w="1480" w:type="dxa"/>
            <w:tcBorders>
              <w:top w:val="nil"/>
              <w:left w:val="nil"/>
              <w:bottom w:val="single" w:sz="8" w:space="0" w:color="auto"/>
              <w:right w:val="single" w:sz="8" w:space="0" w:color="auto"/>
            </w:tcBorders>
            <w:shd w:val="clear" w:color="auto" w:fill="auto"/>
            <w:vAlign w:val="center"/>
            <w:hideMark/>
          </w:tcPr>
          <w:p w14:paraId="1BA48CE9" w14:textId="77777777" w:rsidR="002A2F8C" w:rsidRPr="00756668" w:rsidRDefault="002A2F8C">
            <w:pPr>
              <w:spacing w:after="0"/>
              <w:jc w:val="right"/>
              <w:rPr>
                <w:rFonts w:cs="Arial"/>
                <w:lang w:eastAsia="en-GB"/>
              </w:rPr>
            </w:pPr>
            <w:r w:rsidRPr="00756668">
              <w:rPr>
                <w:rFonts w:cs="Arial"/>
                <w:lang w:eastAsia="en-GB"/>
              </w:rPr>
              <w:t>7.249</w:t>
            </w:r>
          </w:p>
        </w:tc>
        <w:tc>
          <w:tcPr>
            <w:tcW w:w="1480" w:type="dxa"/>
            <w:tcBorders>
              <w:top w:val="nil"/>
              <w:left w:val="nil"/>
              <w:bottom w:val="single" w:sz="8" w:space="0" w:color="auto"/>
              <w:right w:val="single" w:sz="8" w:space="0" w:color="auto"/>
            </w:tcBorders>
            <w:shd w:val="clear" w:color="auto" w:fill="auto"/>
            <w:vAlign w:val="center"/>
            <w:hideMark/>
          </w:tcPr>
          <w:p w14:paraId="12BE90FA" w14:textId="77777777" w:rsidR="002A2F8C" w:rsidRPr="00756668" w:rsidRDefault="002A2F8C">
            <w:pPr>
              <w:spacing w:after="0"/>
              <w:jc w:val="right"/>
              <w:rPr>
                <w:rFonts w:cs="Arial"/>
                <w:lang w:eastAsia="en-GB"/>
              </w:rPr>
            </w:pPr>
            <w:r w:rsidRPr="00756668">
              <w:rPr>
                <w:rFonts w:cs="Arial"/>
                <w:lang w:eastAsia="en-GB"/>
              </w:rPr>
              <w:t>3.333</w:t>
            </w:r>
          </w:p>
        </w:tc>
        <w:tc>
          <w:tcPr>
            <w:tcW w:w="1480" w:type="dxa"/>
            <w:tcBorders>
              <w:top w:val="nil"/>
              <w:left w:val="nil"/>
              <w:bottom w:val="single" w:sz="8" w:space="0" w:color="auto"/>
              <w:right w:val="single" w:sz="8" w:space="0" w:color="auto"/>
            </w:tcBorders>
            <w:shd w:val="clear" w:color="auto" w:fill="auto"/>
            <w:vAlign w:val="center"/>
            <w:hideMark/>
          </w:tcPr>
          <w:p w14:paraId="33CC817E" w14:textId="77777777" w:rsidR="002A2F8C" w:rsidRPr="00756668" w:rsidRDefault="002A2F8C">
            <w:pPr>
              <w:spacing w:after="0"/>
              <w:jc w:val="right"/>
              <w:rPr>
                <w:rFonts w:cs="Arial"/>
                <w:lang w:eastAsia="en-GB"/>
              </w:rPr>
            </w:pPr>
            <w:r w:rsidRPr="00756668">
              <w:rPr>
                <w:rFonts w:cs="Arial"/>
                <w:lang w:eastAsia="en-GB"/>
              </w:rPr>
              <w:t>0.000</w:t>
            </w:r>
          </w:p>
        </w:tc>
        <w:tc>
          <w:tcPr>
            <w:tcW w:w="1481" w:type="dxa"/>
            <w:tcBorders>
              <w:top w:val="nil"/>
              <w:left w:val="nil"/>
              <w:bottom w:val="single" w:sz="8" w:space="0" w:color="auto"/>
              <w:right w:val="single" w:sz="8" w:space="0" w:color="auto"/>
            </w:tcBorders>
            <w:shd w:val="clear" w:color="000000" w:fill="BFBFBF"/>
            <w:vAlign w:val="center"/>
            <w:hideMark/>
          </w:tcPr>
          <w:p w14:paraId="47907ADE" w14:textId="77777777" w:rsidR="002A2F8C" w:rsidRPr="00756668" w:rsidRDefault="002A2F8C">
            <w:pPr>
              <w:spacing w:after="0"/>
              <w:jc w:val="right"/>
              <w:rPr>
                <w:rFonts w:cs="Arial"/>
                <w:lang w:eastAsia="en-GB"/>
              </w:rPr>
            </w:pPr>
            <w:r w:rsidRPr="00756668">
              <w:rPr>
                <w:rFonts w:cs="Arial"/>
                <w:lang w:eastAsia="en-GB"/>
              </w:rPr>
              <w:t> </w:t>
            </w:r>
          </w:p>
        </w:tc>
      </w:tr>
      <w:tr w:rsidR="002A2F8C" w:rsidRPr="00756668" w14:paraId="6415FAD0" w14:textId="77777777">
        <w:trPr>
          <w:trHeight w:val="330"/>
        </w:trPr>
        <w:tc>
          <w:tcPr>
            <w:tcW w:w="3141" w:type="dxa"/>
            <w:tcBorders>
              <w:top w:val="nil"/>
              <w:left w:val="single" w:sz="8" w:space="0" w:color="auto"/>
              <w:bottom w:val="single" w:sz="8" w:space="0" w:color="auto"/>
              <w:right w:val="single" w:sz="8" w:space="0" w:color="auto"/>
            </w:tcBorders>
            <w:shd w:val="clear" w:color="000000" w:fill="BFBFBF"/>
            <w:vAlign w:val="center"/>
            <w:hideMark/>
          </w:tcPr>
          <w:p w14:paraId="31F9128D" w14:textId="77777777" w:rsidR="002A2F8C" w:rsidRPr="00756668" w:rsidRDefault="002A2F8C">
            <w:pPr>
              <w:spacing w:after="0"/>
              <w:rPr>
                <w:rFonts w:cs="Arial"/>
                <w:b/>
                <w:bCs/>
                <w:lang w:eastAsia="en-GB"/>
              </w:rPr>
            </w:pPr>
            <w:r w:rsidRPr="00756668">
              <w:rPr>
                <w:rFonts w:cs="Arial"/>
                <w:b/>
                <w:bCs/>
                <w:lang w:eastAsia="en-GB"/>
              </w:rPr>
              <w:t>Closing balance</w:t>
            </w:r>
          </w:p>
        </w:tc>
        <w:tc>
          <w:tcPr>
            <w:tcW w:w="1480" w:type="dxa"/>
            <w:tcBorders>
              <w:top w:val="nil"/>
              <w:left w:val="nil"/>
              <w:bottom w:val="single" w:sz="8" w:space="0" w:color="auto"/>
              <w:right w:val="single" w:sz="8" w:space="0" w:color="auto"/>
            </w:tcBorders>
            <w:shd w:val="clear" w:color="000000" w:fill="BFBFBF"/>
            <w:vAlign w:val="center"/>
            <w:hideMark/>
          </w:tcPr>
          <w:p w14:paraId="3B497E2B" w14:textId="5D6CC741" w:rsidR="002A2F8C" w:rsidRPr="00756668" w:rsidRDefault="002A2F8C">
            <w:pPr>
              <w:spacing w:after="0"/>
              <w:jc w:val="right"/>
              <w:rPr>
                <w:rFonts w:cs="Arial"/>
                <w:b/>
                <w:bCs/>
                <w:lang w:eastAsia="en-GB"/>
              </w:rPr>
            </w:pPr>
            <w:r w:rsidRPr="00756668">
              <w:rPr>
                <w:rFonts w:cs="Arial"/>
                <w:b/>
                <w:bCs/>
                <w:lang w:eastAsia="en-GB"/>
              </w:rPr>
              <w:t>17</w:t>
            </w:r>
            <w:r w:rsidR="00D33BE7">
              <w:rPr>
                <w:rFonts w:cs="Arial"/>
                <w:b/>
                <w:bCs/>
                <w:lang w:eastAsia="en-GB"/>
              </w:rPr>
              <w:t>2.122</w:t>
            </w:r>
          </w:p>
        </w:tc>
        <w:tc>
          <w:tcPr>
            <w:tcW w:w="1480" w:type="dxa"/>
            <w:tcBorders>
              <w:top w:val="nil"/>
              <w:left w:val="nil"/>
              <w:bottom w:val="single" w:sz="8" w:space="0" w:color="auto"/>
              <w:right w:val="single" w:sz="8" w:space="0" w:color="auto"/>
            </w:tcBorders>
            <w:shd w:val="clear" w:color="000000" w:fill="BFBFBF"/>
            <w:vAlign w:val="center"/>
            <w:hideMark/>
          </w:tcPr>
          <w:p w14:paraId="0D7A1463" w14:textId="07FADF78" w:rsidR="002A2F8C" w:rsidRPr="00756668" w:rsidRDefault="002A2F8C">
            <w:pPr>
              <w:spacing w:after="0"/>
              <w:jc w:val="right"/>
              <w:rPr>
                <w:rFonts w:cs="Arial"/>
                <w:b/>
                <w:bCs/>
                <w:lang w:eastAsia="en-GB"/>
              </w:rPr>
            </w:pPr>
            <w:r w:rsidRPr="00756668">
              <w:rPr>
                <w:rFonts w:cs="Arial"/>
                <w:b/>
                <w:bCs/>
                <w:lang w:eastAsia="en-GB"/>
              </w:rPr>
              <w:t>17</w:t>
            </w:r>
            <w:r w:rsidR="00D33BE7">
              <w:rPr>
                <w:rFonts w:cs="Arial"/>
                <w:b/>
                <w:bCs/>
                <w:lang w:eastAsia="en-GB"/>
              </w:rPr>
              <w:t>7.114</w:t>
            </w:r>
          </w:p>
        </w:tc>
        <w:tc>
          <w:tcPr>
            <w:tcW w:w="1480" w:type="dxa"/>
            <w:tcBorders>
              <w:top w:val="nil"/>
              <w:left w:val="nil"/>
              <w:bottom w:val="single" w:sz="8" w:space="0" w:color="auto"/>
              <w:right w:val="single" w:sz="8" w:space="0" w:color="auto"/>
            </w:tcBorders>
            <w:shd w:val="clear" w:color="000000" w:fill="BFBFBF"/>
            <w:vAlign w:val="center"/>
            <w:hideMark/>
          </w:tcPr>
          <w:p w14:paraId="1F6CC87F" w14:textId="5C788848" w:rsidR="002A2F8C" w:rsidRPr="00756668" w:rsidRDefault="002A2F8C">
            <w:pPr>
              <w:spacing w:after="0"/>
              <w:jc w:val="right"/>
              <w:rPr>
                <w:rFonts w:cs="Arial"/>
                <w:b/>
                <w:bCs/>
                <w:lang w:eastAsia="en-GB"/>
              </w:rPr>
            </w:pPr>
            <w:r w:rsidRPr="00756668">
              <w:rPr>
                <w:rFonts w:cs="Arial"/>
                <w:b/>
                <w:bCs/>
                <w:lang w:eastAsia="en-GB"/>
              </w:rPr>
              <w:t>16</w:t>
            </w:r>
            <w:r w:rsidR="00D33BE7">
              <w:rPr>
                <w:rFonts w:cs="Arial"/>
                <w:b/>
                <w:bCs/>
                <w:lang w:eastAsia="en-GB"/>
              </w:rPr>
              <w:t>6.513</w:t>
            </w:r>
          </w:p>
        </w:tc>
        <w:tc>
          <w:tcPr>
            <w:tcW w:w="1481" w:type="dxa"/>
            <w:tcBorders>
              <w:top w:val="nil"/>
              <w:left w:val="nil"/>
              <w:bottom w:val="single" w:sz="8" w:space="0" w:color="auto"/>
              <w:right w:val="single" w:sz="8" w:space="0" w:color="auto"/>
            </w:tcBorders>
            <w:shd w:val="clear" w:color="000000" w:fill="BFBFBF"/>
            <w:vAlign w:val="center"/>
            <w:hideMark/>
          </w:tcPr>
          <w:p w14:paraId="2B548242" w14:textId="06ABE49E" w:rsidR="002A2F8C" w:rsidRPr="00756668" w:rsidRDefault="002A2F8C">
            <w:pPr>
              <w:spacing w:after="0"/>
              <w:jc w:val="right"/>
              <w:rPr>
                <w:rFonts w:cs="Arial"/>
                <w:b/>
                <w:bCs/>
                <w:lang w:eastAsia="en-GB"/>
              </w:rPr>
            </w:pPr>
            <w:r w:rsidRPr="00756668">
              <w:rPr>
                <w:rFonts w:cs="Arial"/>
                <w:b/>
                <w:bCs/>
                <w:lang w:eastAsia="en-GB"/>
              </w:rPr>
              <w:t>14</w:t>
            </w:r>
            <w:r w:rsidR="00D33BE7">
              <w:rPr>
                <w:rFonts w:cs="Arial"/>
                <w:b/>
                <w:bCs/>
                <w:lang w:eastAsia="en-GB"/>
              </w:rPr>
              <w:t>3.623</w:t>
            </w:r>
          </w:p>
        </w:tc>
      </w:tr>
    </w:tbl>
    <w:p w14:paraId="3A43D96D" w14:textId="77777777" w:rsidR="002A2F8C" w:rsidRPr="00CD4BC8" w:rsidRDefault="002A2F8C" w:rsidP="002A2F8C">
      <w:pPr>
        <w:tabs>
          <w:tab w:val="left" w:pos="567"/>
          <w:tab w:val="left" w:pos="1134"/>
        </w:tabs>
        <w:spacing w:after="0"/>
        <w:rPr>
          <w:rFonts w:cs="Arial"/>
          <w:highlight w:val="yellow"/>
        </w:rPr>
      </w:pPr>
    </w:p>
    <w:p w14:paraId="57F8F899" w14:textId="77777777" w:rsidR="002A2F8C" w:rsidRPr="00CD4BC8" w:rsidRDefault="002A2F8C" w:rsidP="002A2F8C">
      <w:pPr>
        <w:tabs>
          <w:tab w:val="left" w:pos="567"/>
          <w:tab w:val="left" w:pos="1134"/>
        </w:tabs>
        <w:spacing w:after="0"/>
        <w:rPr>
          <w:rFonts w:cs="Arial"/>
          <w:highlight w:val="yellow"/>
        </w:rPr>
      </w:pPr>
    </w:p>
    <w:p w14:paraId="0565E2CC" w14:textId="77777777" w:rsidR="002A2F8C" w:rsidRPr="00CD4BC8" w:rsidRDefault="002A2F8C" w:rsidP="002A2F8C">
      <w:pPr>
        <w:tabs>
          <w:tab w:val="left" w:pos="567"/>
          <w:tab w:val="left" w:pos="1134"/>
        </w:tabs>
        <w:spacing w:after="0"/>
        <w:rPr>
          <w:rFonts w:cs="Arial"/>
          <w:highlight w:val="yellow"/>
        </w:rPr>
      </w:pPr>
    </w:p>
    <w:p w14:paraId="13CB595B" w14:textId="77777777" w:rsidR="00640F8C" w:rsidRPr="008B4A55" w:rsidRDefault="00640F8C" w:rsidP="00640F8C">
      <w:pPr>
        <w:autoSpaceDE w:val="0"/>
        <w:autoSpaceDN w:val="0"/>
        <w:adjustRightInd w:val="0"/>
        <w:spacing w:after="0" w:line="240" w:lineRule="auto"/>
        <w:ind w:right="-24"/>
        <w:jc w:val="both"/>
        <w:rPr>
          <w:rFonts w:eastAsia="Calibri" w:cs="Arial"/>
          <w:color w:val="000000"/>
          <w:szCs w:val="24"/>
          <w:highlight w:val="yellow"/>
        </w:rPr>
      </w:pPr>
    </w:p>
    <w:p w14:paraId="5AE48A43" w14:textId="77777777" w:rsidR="00640F8C" w:rsidRDefault="00640F8C" w:rsidP="00640F8C">
      <w:pPr>
        <w:spacing w:after="0"/>
        <w:jc w:val="both"/>
        <w:rPr>
          <w:rFonts w:cs="Arial"/>
          <w:szCs w:val="24"/>
          <w:highlight w:val="yellow"/>
        </w:rPr>
      </w:pPr>
    </w:p>
    <w:p w14:paraId="4F59DAE9" w14:textId="77777777" w:rsidR="002A2F8C" w:rsidRDefault="002A2F8C" w:rsidP="00640F8C">
      <w:pPr>
        <w:spacing w:after="0"/>
        <w:jc w:val="both"/>
        <w:rPr>
          <w:rFonts w:cs="Arial"/>
          <w:szCs w:val="24"/>
          <w:highlight w:val="yellow"/>
        </w:rPr>
      </w:pPr>
    </w:p>
    <w:p w14:paraId="5C54C19D" w14:textId="77777777" w:rsidR="002A2F8C" w:rsidRDefault="002A2F8C" w:rsidP="00640F8C">
      <w:pPr>
        <w:spacing w:after="0"/>
        <w:jc w:val="both"/>
        <w:rPr>
          <w:rFonts w:cs="Arial"/>
          <w:szCs w:val="24"/>
          <w:highlight w:val="yellow"/>
        </w:rPr>
      </w:pPr>
    </w:p>
    <w:p w14:paraId="700970E3" w14:textId="77777777" w:rsidR="002A2F8C" w:rsidRDefault="002A2F8C" w:rsidP="00640F8C">
      <w:pPr>
        <w:spacing w:after="0"/>
        <w:jc w:val="both"/>
        <w:rPr>
          <w:rFonts w:cs="Arial"/>
          <w:szCs w:val="24"/>
          <w:highlight w:val="yellow"/>
        </w:rPr>
      </w:pPr>
    </w:p>
    <w:p w14:paraId="2CBF42C7" w14:textId="34D9EAAB" w:rsidR="005A1B34" w:rsidRDefault="005A1B34">
      <w:pPr>
        <w:rPr>
          <w:rFonts w:cs="Arial"/>
          <w:szCs w:val="24"/>
          <w:highlight w:val="yellow"/>
        </w:rPr>
      </w:pPr>
    </w:p>
    <w:p w14:paraId="441327D1" w14:textId="768E319A" w:rsidR="009D2C07" w:rsidRPr="009D2C07" w:rsidRDefault="005A2610" w:rsidP="009D2C07">
      <w:pPr>
        <w:autoSpaceDE w:val="0"/>
        <w:autoSpaceDN w:val="0"/>
        <w:adjustRightInd w:val="0"/>
        <w:rPr>
          <w:rFonts w:cs="Arial"/>
          <w:b/>
          <w:szCs w:val="24"/>
          <w:lang w:eastAsia="en-GB"/>
        </w:rPr>
      </w:pPr>
      <w:r>
        <w:rPr>
          <w:rStyle w:val="eop"/>
          <w:rFonts w:cs="Arial"/>
          <w:b/>
          <w:bCs/>
        </w:rPr>
        <w:lastRenderedPageBreak/>
        <w:t>7</w:t>
      </w:r>
      <w:r w:rsidR="00042FB7" w:rsidRPr="00042FB7">
        <w:rPr>
          <w:rStyle w:val="eop"/>
          <w:rFonts w:cs="Arial"/>
          <w:b/>
          <w:bCs/>
        </w:rPr>
        <w:t xml:space="preserve">. </w:t>
      </w:r>
      <w:r w:rsidR="009D2C07" w:rsidRPr="00042FB7">
        <w:rPr>
          <w:rFonts w:cs="Arial"/>
          <w:b/>
          <w:bCs/>
          <w:szCs w:val="24"/>
          <w:lang w:eastAsia="en-GB"/>
        </w:rPr>
        <w:t>The</w:t>
      </w:r>
      <w:r w:rsidR="009D2C07" w:rsidRPr="009D2C07">
        <w:rPr>
          <w:rFonts w:cs="Arial"/>
          <w:b/>
          <w:szCs w:val="24"/>
          <w:lang w:eastAsia="en-GB"/>
        </w:rPr>
        <w:t xml:space="preserve"> Robustness of the Budget and the Adequacy of Reserves</w:t>
      </w:r>
    </w:p>
    <w:p w14:paraId="2DEB56FE" w14:textId="77777777" w:rsidR="009D2C07" w:rsidRPr="009D2C07" w:rsidRDefault="009D2C07" w:rsidP="009D2C07">
      <w:pPr>
        <w:autoSpaceDE w:val="0"/>
        <w:autoSpaceDN w:val="0"/>
        <w:adjustRightInd w:val="0"/>
        <w:spacing w:after="0" w:line="240" w:lineRule="auto"/>
        <w:rPr>
          <w:rFonts w:cs="Arial"/>
          <w:szCs w:val="24"/>
          <w:lang w:eastAsia="en-GB"/>
        </w:rPr>
      </w:pPr>
    </w:p>
    <w:p w14:paraId="38750E7D"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Section 25 of the Local Government Act 2003 requires that, in </w:t>
      </w:r>
      <w:proofErr w:type="gramStart"/>
      <w:r w:rsidRPr="009D2C07">
        <w:rPr>
          <w:rFonts w:cs="Arial"/>
          <w:szCs w:val="24"/>
          <w:lang w:eastAsia="en-GB"/>
        </w:rPr>
        <w:t>giving consideration to</w:t>
      </w:r>
      <w:proofErr w:type="gramEnd"/>
      <w:r w:rsidRPr="009D2C07">
        <w:rPr>
          <w:rFonts w:cs="Arial"/>
          <w:szCs w:val="24"/>
          <w:lang w:eastAsia="en-GB"/>
        </w:rPr>
        <w:t xml:space="preserve"> budget proposals, Members must have regard to the advice of the council's Chief Finance Officer, currently the Chief Executive and Director of Resources, on the robustness of estimates and the adequacy of the council's reserves. </w:t>
      </w:r>
    </w:p>
    <w:p w14:paraId="7DB99E6F" w14:textId="77777777" w:rsidR="009D2C07" w:rsidRPr="009D2C07" w:rsidRDefault="009D2C07" w:rsidP="009D2C07">
      <w:pPr>
        <w:autoSpaceDE w:val="0"/>
        <w:autoSpaceDN w:val="0"/>
        <w:adjustRightInd w:val="0"/>
        <w:spacing w:after="0" w:line="240" w:lineRule="auto"/>
        <w:rPr>
          <w:rFonts w:cs="Arial"/>
          <w:i/>
          <w:szCs w:val="24"/>
          <w:lang w:eastAsia="en-GB"/>
        </w:rPr>
      </w:pPr>
    </w:p>
    <w:p w14:paraId="54FFFE09" w14:textId="77777777" w:rsidR="009D2C07" w:rsidRPr="009D2C07" w:rsidRDefault="009D2C07" w:rsidP="009D2C07">
      <w:pPr>
        <w:autoSpaceDE w:val="0"/>
        <w:autoSpaceDN w:val="0"/>
        <w:adjustRightInd w:val="0"/>
        <w:spacing w:after="0" w:line="240" w:lineRule="auto"/>
        <w:rPr>
          <w:rFonts w:cs="Arial"/>
          <w:b/>
          <w:szCs w:val="24"/>
          <w:lang w:eastAsia="en-GB"/>
        </w:rPr>
      </w:pPr>
      <w:r w:rsidRPr="009D2C07">
        <w:rPr>
          <w:rFonts w:cs="Arial"/>
          <w:b/>
          <w:szCs w:val="24"/>
          <w:lang w:eastAsia="en-GB"/>
        </w:rPr>
        <w:t>Robustness of the Estimates</w:t>
      </w:r>
    </w:p>
    <w:p w14:paraId="7BC186E4" w14:textId="77777777" w:rsidR="009D2C07" w:rsidRPr="009D2C07" w:rsidRDefault="009D2C07" w:rsidP="009D2C07">
      <w:pPr>
        <w:autoSpaceDE w:val="0"/>
        <w:autoSpaceDN w:val="0"/>
        <w:adjustRightInd w:val="0"/>
        <w:spacing w:after="0" w:line="240" w:lineRule="auto"/>
        <w:rPr>
          <w:rFonts w:cs="Arial"/>
          <w:szCs w:val="24"/>
          <w:lang w:eastAsia="en-GB"/>
        </w:rPr>
      </w:pPr>
    </w:p>
    <w:p w14:paraId="4A60E10C"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This section is concerned with the scale of financial risks faced by the council </w:t>
      </w:r>
      <w:proofErr w:type="gramStart"/>
      <w:r w:rsidRPr="009D2C07">
        <w:rPr>
          <w:rFonts w:cs="Arial"/>
          <w:szCs w:val="24"/>
          <w:lang w:eastAsia="en-GB"/>
        </w:rPr>
        <w:t>as a result of</w:t>
      </w:r>
      <w:proofErr w:type="gramEnd"/>
      <w:r w:rsidRPr="009D2C07">
        <w:rPr>
          <w:rFonts w:cs="Arial"/>
          <w:szCs w:val="24"/>
          <w:lang w:eastAsia="en-GB"/>
        </w:rPr>
        <w:t xml:space="preserve"> the estimates and assumptions which underpin the budget. The basis of these estimates, as in previous years, relies on the forecast of activity and the impact of changes in policy previously agreed by the council, and any changes in national policies. These forecasts are kept under review as part of the budget monitoring process and actions identified to address financial risks and capitalise on financial opportunities arising from changes in the forecasts. </w:t>
      </w:r>
    </w:p>
    <w:p w14:paraId="01A66BE5"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6885DE32"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 table below demonstrates the scale of just a small variance in the assumptions made, showing the potential impact of both a positive and negative movement of 1% across the main areas within the </w:t>
      </w:r>
      <w:proofErr w:type="gramStart"/>
      <w:r w:rsidRPr="009D2C07">
        <w:rPr>
          <w:rFonts w:cs="Arial"/>
          <w:szCs w:val="24"/>
          <w:lang w:eastAsia="en-GB"/>
        </w:rPr>
        <w:t>medium term</w:t>
      </w:r>
      <w:proofErr w:type="gramEnd"/>
      <w:r w:rsidRPr="009D2C07">
        <w:rPr>
          <w:rFonts w:cs="Arial"/>
          <w:szCs w:val="24"/>
          <w:lang w:eastAsia="en-GB"/>
        </w:rPr>
        <w:t xml:space="preserve"> financial strategy:</w:t>
      </w:r>
    </w:p>
    <w:p w14:paraId="72AA123B" w14:textId="77777777" w:rsidR="009D2C07" w:rsidRPr="009D2C07" w:rsidRDefault="009D2C07" w:rsidP="009D2C07">
      <w:pPr>
        <w:autoSpaceDE w:val="0"/>
        <w:autoSpaceDN w:val="0"/>
        <w:adjustRightInd w:val="0"/>
        <w:spacing w:after="0" w:line="240" w:lineRule="auto"/>
        <w:jc w:val="both"/>
        <w:rPr>
          <w:rFonts w:cs="Arial"/>
          <w:szCs w:val="24"/>
          <w:lang w:eastAsia="en-GB"/>
        </w:rPr>
      </w:pPr>
    </w:p>
    <w:tbl>
      <w:tblPr>
        <w:tblW w:w="0" w:type="auto"/>
        <w:tblCellMar>
          <w:left w:w="0" w:type="dxa"/>
          <w:right w:w="0" w:type="dxa"/>
        </w:tblCellMar>
        <w:tblLook w:val="04A0" w:firstRow="1" w:lastRow="0" w:firstColumn="1" w:lastColumn="0" w:noHBand="0" w:noVBand="1"/>
      </w:tblPr>
      <w:tblGrid>
        <w:gridCol w:w="5924"/>
        <w:gridCol w:w="3072"/>
      </w:tblGrid>
      <w:tr w:rsidR="009D2C07" w:rsidRPr="009D2C07" w14:paraId="2B57B983" w14:textId="77777777">
        <w:trPr>
          <w:trHeight w:val="474"/>
        </w:trPr>
        <w:tc>
          <w:tcPr>
            <w:tcW w:w="6046"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018A6696" w14:textId="77777777" w:rsidR="009D2C07" w:rsidRPr="009D2C07" w:rsidRDefault="009D2C07" w:rsidP="009D2C07">
            <w:pPr>
              <w:autoSpaceDE w:val="0"/>
              <w:autoSpaceDN w:val="0"/>
              <w:adjustRightInd w:val="0"/>
              <w:spacing w:after="120" w:line="240" w:lineRule="auto"/>
              <w:jc w:val="both"/>
              <w:rPr>
                <w:rFonts w:eastAsia="Calibri" w:cs="Arial"/>
                <w:b/>
                <w:bCs/>
                <w:szCs w:val="24"/>
                <w:lang w:eastAsia="en-GB"/>
              </w:rPr>
            </w:pPr>
            <w:bookmarkStart w:id="1" w:name="_Hlk79487241"/>
          </w:p>
        </w:tc>
        <w:tc>
          <w:tcPr>
            <w:tcW w:w="3118"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14:paraId="358E336D" w14:textId="77777777"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Potential Full - Year Impact of 1% movement (£m)</w:t>
            </w:r>
          </w:p>
        </w:tc>
      </w:tr>
      <w:tr w:rsidR="009D2C07" w:rsidRPr="009D2C07" w14:paraId="43096D5F" w14:textId="77777777">
        <w:trPr>
          <w:trHeight w:val="28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749E85" w14:textId="77777777" w:rsidR="009D2C07" w:rsidRPr="009D2C07" w:rsidRDefault="009D2C07" w:rsidP="009D2C07">
            <w:pPr>
              <w:autoSpaceDE w:val="0"/>
              <w:autoSpaceDN w:val="0"/>
              <w:adjustRightInd w:val="0"/>
              <w:spacing w:after="120" w:line="240" w:lineRule="auto"/>
              <w:jc w:val="both"/>
              <w:rPr>
                <w:rFonts w:eastAsia="Calibri" w:cs="Arial"/>
                <w:color w:val="000000"/>
                <w:szCs w:val="24"/>
                <w:lang w:eastAsia="en-GB"/>
              </w:rPr>
            </w:pPr>
            <w:r w:rsidRPr="009D2C07">
              <w:rPr>
                <w:rFonts w:eastAsia="Calibri" w:cs="Arial"/>
                <w:color w:val="000000"/>
                <w:szCs w:val="24"/>
                <w:lang w:eastAsia="en-GB"/>
              </w:rPr>
              <w:t>Funding - Council Tax</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17F23C8B" w14:textId="738F7A63"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 xml:space="preserve">+/- </w:t>
            </w:r>
            <w:r w:rsidR="003A2986">
              <w:rPr>
                <w:rFonts w:eastAsia="Calibri" w:cs="Arial"/>
                <w:color w:val="000000"/>
                <w:szCs w:val="24"/>
                <w:lang w:eastAsia="en-GB"/>
              </w:rPr>
              <w:t>6.044</w:t>
            </w:r>
          </w:p>
        </w:tc>
      </w:tr>
      <w:tr w:rsidR="009D2C07" w:rsidRPr="009D2C07" w14:paraId="2F3F9C34" w14:textId="77777777">
        <w:trPr>
          <w:trHeight w:val="28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BB5BD49" w14:textId="77777777" w:rsidR="009D2C07" w:rsidRPr="009D2C07" w:rsidRDefault="009D2C07" w:rsidP="009D2C07">
            <w:pPr>
              <w:autoSpaceDE w:val="0"/>
              <w:autoSpaceDN w:val="0"/>
              <w:adjustRightInd w:val="0"/>
              <w:spacing w:after="120" w:line="240" w:lineRule="auto"/>
              <w:jc w:val="both"/>
              <w:rPr>
                <w:rFonts w:eastAsia="Calibri" w:cs="Arial"/>
                <w:color w:val="000000"/>
                <w:szCs w:val="24"/>
                <w:lang w:eastAsia="en-GB"/>
              </w:rPr>
            </w:pPr>
            <w:r w:rsidRPr="009D2C07">
              <w:rPr>
                <w:rFonts w:eastAsia="Calibri" w:cs="Arial"/>
                <w:color w:val="000000"/>
                <w:szCs w:val="24"/>
                <w:lang w:eastAsia="en-GB"/>
              </w:rPr>
              <w:t xml:space="preserve">Pay </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662B894F" w14:textId="77777777"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+/- 4.408</w:t>
            </w:r>
          </w:p>
        </w:tc>
      </w:tr>
      <w:tr w:rsidR="009D2C07" w:rsidRPr="009D2C07" w14:paraId="54CDFFEC" w14:textId="77777777">
        <w:trPr>
          <w:trHeight w:val="274"/>
        </w:trPr>
        <w:tc>
          <w:tcPr>
            <w:tcW w:w="6046"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6583E13" w14:textId="77777777" w:rsidR="009D2C07" w:rsidRPr="009D2C07" w:rsidRDefault="009D2C07" w:rsidP="009D2C07">
            <w:pPr>
              <w:autoSpaceDE w:val="0"/>
              <w:autoSpaceDN w:val="0"/>
              <w:adjustRightInd w:val="0"/>
              <w:spacing w:after="120" w:line="240" w:lineRule="auto"/>
              <w:jc w:val="both"/>
              <w:rPr>
                <w:rFonts w:eastAsia="Calibri" w:cs="Arial"/>
                <w:color w:val="000000"/>
                <w:szCs w:val="24"/>
                <w:lang w:eastAsia="en-GB"/>
              </w:rPr>
            </w:pPr>
            <w:r w:rsidRPr="009D2C07">
              <w:rPr>
                <w:rFonts w:eastAsia="Calibri" w:cs="Arial"/>
                <w:color w:val="000000"/>
                <w:szCs w:val="24"/>
                <w:lang w:eastAsia="en-GB"/>
              </w:rPr>
              <w:t xml:space="preserve">Price Inflation </w:t>
            </w:r>
          </w:p>
        </w:tc>
        <w:tc>
          <w:tcPr>
            <w:tcW w:w="3118"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725227CE" w14:textId="77777777"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+/- 8.161</w:t>
            </w:r>
          </w:p>
        </w:tc>
      </w:tr>
      <w:tr w:rsidR="009D2C07" w:rsidRPr="009D2C07" w14:paraId="770AF292" w14:textId="77777777">
        <w:trPr>
          <w:trHeight w:val="284"/>
        </w:trPr>
        <w:tc>
          <w:tcPr>
            <w:tcW w:w="6046" w:type="dxa"/>
            <w:tcBorders>
              <w:top w:val="nil"/>
              <w:left w:val="single" w:sz="12" w:space="0" w:color="auto"/>
              <w:bottom w:val="single" w:sz="4" w:space="0" w:color="auto"/>
              <w:right w:val="single" w:sz="8" w:space="0" w:color="auto"/>
            </w:tcBorders>
            <w:tcMar>
              <w:top w:w="0" w:type="dxa"/>
              <w:left w:w="108" w:type="dxa"/>
              <w:bottom w:w="0" w:type="dxa"/>
              <w:right w:w="108" w:type="dxa"/>
            </w:tcMar>
            <w:hideMark/>
          </w:tcPr>
          <w:p w14:paraId="7DDFE4C3" w14:textId="77777777" w:rsidR="009D2C07" w:rsidRPr="009D2C07" w:rsidRDefault="009D2C07" w:rsidP="009D2C07">
            <w:pPr>
              <w:autoSpaceDE w:val="0"/>
              <w:autoSpaceDN w:val="0"/>
              <w:adjustRightInd w:val="0"/>
              <w:spacing w:after="120" w:line="240" w:lineRule="auto"/>
              <w:jc w:val="both"/>
              <w:rPr>
                <w:rFonts w:eastAsia="Calibri" w:cs="Arial"/>
                <w:color w:val="000000"/>
                <w:szCs w:val="24"/>
                <w:lang w:eastAsia="en-GB"/>
              </w:rPr>
            </w:pPr>
            <w:r w:rsidRPr="009D2C07">
              <w:rPr>
                <w:rFonts w:eastAsia="Calibri" w:cs="Arial"/>
                <w:color w:val="000000"/>
                <w:szCs w:val="24"/>
                <w:lang w:eastAsia="en-GB"/>
              </w:rPr>
              <w:t xml:space="preserve">Demand </w:t>
            </w:r>
          </w:p>
        </w:tc>
        <w:tc>
          <w:tcPr>
            <w:tcW w:w="3118" w:type="dxa"/>
            <w:tcBorders>
              <w:top w:val="nil"/>
              <w:left w:val="nil"/>
              <w:bottom w:val="single" w:sz="4" w:space="0" w:color="auto"/>
              <w:right w:val="single" w:sz="12" w:space="0" w:color="auto"/>
            </w:tcBorders>
            <w:shd w:val="clear" w:color="auto" w:fill="auto"/>
            <w:tcMar>
              <w:top w:w="0" w:type="dxa"/>
              <w:left w:w="108" w:type="dxa"/>
              <w:bottom w:w="0" w:type="dxa"/>
              <w:right w:w="108" w:type="dxa"/>
            </w:tcMar>
            <w:hideMark/>
          </w:tcPr>
          <w:p w14:paraId="1157F97D" w14:textId="77777777"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+/- 5.546</w:t>
            </w:r>
          </w:p>
        </w:tc>
      </w:tr>
      <w:tr w:rsidR="009D2C07" w:rsidRPr="009D2C07" w14:paraId="29F92E98" w14:textId="77777777">
        <w:trPr>
          <w:trHeight w:val="274"/>
        </w:trPr>
        <w:tc>
          <w:tcPr>
            <w:tcW w:w="6046"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7A08B3C9" w14:textId="77777777" w:rsidR="009D2C07" w:rsidRPr="009D2C07" w:rsidRDefault="009D2C07" w:rsidP="009D2C07">
            <w:pPr>
              <w:autoSpaceDE w:val="0"/>
              <w:autoSpaceDN w:val="0"/>
              <w:adjustRightInd w:val="0"/>
              <w:spacing w:after="120" w:line="240" w:lineRule="auto"/>
              <w:jc w:val="both"/>
              <w:rPr>
                <w:rFonts w:eastAsia="Calibri" w:cs="Arial"/>
                <w:color w:val="000000"/>
                <w:szCs w:val="24"/>
                <w:lang w:eastAsia="en-GB"/>
              </w:rPr>
            </w:pPr>
            <w:r w:rsidRPr="009D2C07">
              <w:rPr>
                <w:rFonts w:eastAsia="Calibri" w:cs="Arial"/>
                <w:color w:val="000000"/>
                <w:szCs w:val="24"/>
                <w:lang w:eastAsia="en-GB"/>
              </w:rPr>
              <w:t xml:space="preserve">Interest on borrowing </w:t>
            </w:r>
          </w:p>
        </w:tc>
        <w:tc>
          <w:tcPr>
            <w:tcW w:w="3118" w:type="dxa"/>
            <w:tcBorders>
              <w:top w:val="single" w:sz="4"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3AE623D3" w14:textId="77777777" w:rsidR="009D2C07" w:rsidRPr="009D2C07" w:rsidRDefault="009D2C07" w:rsidP="009D2C07">
            <w:pPr>
              <w:autoSpaceDE w:val="0"/>
              <w:autoSpaceDN w:val="0"/>
              <w:adjustRightInd w:val="0"/>
              <w:spacing w:after="120" w:line="240" w:lineRule="auto"/>
              <w:jc w:val="right"/>
              <w:rPr>
                <w:rFonts w:eastAsia="Calibri" w:cs="Arial"/>
                <w:color w:val="000000"/>
                <w:szCs w:val="24"/>
                <w:lang w:eastAsia="en-GB"/>
              </w:rPr>
            </w:pPr>
            <w:r w:rsidRPr="009D2C07">
              <w:rPr>
                <w:rFonts w:eastAsia="Calibri" w:cs="Arial"/>
                <w:color w:val="000000"/>
                <w:szCs w:val="24"/>
                <w:lang w:eastAsia="en-GB"/>
              </w:rPr>
              <w:t>+/- 5.000</w:t>
            </w:r>
          </w:p>
        </w:tc>
      </w:tr>
      <w:bookmarkEnd w:id="1"/>
    </w:tbl>
    <w:p w14:paraId="577D47FF" w14:textId="77777777" w:rsidR="009D2C07" w:rsidRPr="009D2C07" w:rsidRDefault="009D2C07" w:rsidP="009D2C07">
      <w:pPr>
        <w:autoSpaceDE w:val="0"/>
        <w:autoSpaceDN w:val="0"/>
        <w:adjustRightInd w:val="0"/>
        <w:spacing w:after="0" w:line="240" w:lineRule="auto"/>
        <w:jc w:val="both"/>
        <w:rPr>
          <w:rFonts w:cs="Arial"/>
          <w:szCs w:val="24"/>
          <w:highlight w:val="yellow"/>
          <w:lang w:eastAsia="en-GB"/>
        </w:rPr>
      </w:pPr>
    </w:p>
    <w:p w14:paraId="7C3FE61D" w14:textId="77777777" w:rsidR="009D2C07" w:rsidRPr="009D2C07" w:rsidRDefault="009D2C07" w:rsidP="009D2C07">
      <w:pPr>
        <w:spacing w:after="0" w:line="240" w:lineRule="auto"/>
        <w:jc w:val="both"/>
        <w:rPr>
          <w:szCs w:val="20"/>
          <w:lang w:eastAsia="en-GB"/>
        </w:rPr>
      </w:pPr>
      <w:r w:rsidRPr="009D2C07">
        <w:rPr>
          <w:szCs w:val="20"/>
          <w:lang w:eastAsia="en-GB"/>
        </w:rPr>
        <w:t xml:space="preserve"> </w:t>
      </w:r>
      <w:proofErr w:type="gramStart"/>
      <w:r w:rsidRPr="009D2C07">
        <w:rPr>
          <w:rFonts w:cs="Arial"/>
          <w:szCs w:val="24"/>
          <w:lang w:eastAsia="en-GB"/>
        </w:rPr>
        <w:t>A number of</w:t>
      </w:r>
      <w:proofErr w:type="gramEnd"/>
      <w:r w:rsidRPr="009D2C07">
        <w:rPr>
          <w:rFonts w:cs="Arial"/>
          <w:szCs w:val="24"/>
          <w:lang w:eastAsia="en-GB"/>
        </w:rPr>
        <w:t xml:space="preserve"> specific potential risks and opportunities remain within the budget as follows:</w:t>
      </w:r>
    </w:p>
    <w:p w14:paraId="3A6BD6A1" w14:textId="77777777" w:rsidR="009D2C07" w:rsidRPr="009D2C07" w:rsidRDefault="009D2C07" w:rsidP="009D2C07">
      <w:pPr>
        <w:autoSpaceDE w:val="0"/>
        <w:autoSpaceDN w:val="0"/>
        <w:adjustRightInd w:val="0"/>
        <w:spacing w:after="0" w:line="240" w:lineRule="auto"/>
        <w:rPr>
          <w:rFonts w:cs="Arial"/>
          <w:i/>
          <w:szCs w:val="24"/>
          <w:lang w:eastAsia="en-GB"/>
        </w:rPr>
      </w:pPr>
    </w:p>
    <w:p w14:paraId="5615AE23" w14:textId="77777777" w:rsidR="009D2C07" w:rsidRPr="009D2C07" w:rsidRDefault="009D2C07" w:rsidP="009D2C07">
      <w:pPr>
        <w:numPr>
          <w:ilvl w:val="0"/>
          <w:numId w:val="16"/>
        </w:numPr>
        <w:autoSpaceDE w:val="0"/>
        <w:autoSpaceDN w:val="0"/>
        <w:adjustRightInd w:val="0"/>
        <w:spacing w:after="0" w:line="240" w:lineRule="auto"/>
        <w:ind w:left="142" w:hanging="142"/>
        <w:outlineLvl w:val="0"/>
        <w:rPr>
          <w:rFonts w:cs="Arial"/>
          <w:b/>
          <w:szCs w:val="24"/>
          <w:lang w:eastAsia="en-GB"/>
        </w:rPr>
      </w:pPr>
      <w:r w:rsidRPr="009D2C07">
        <w:rPr>
          <w:rFonts w:cs="Arial"/>
          <w:szCs w:val="24"/>
          <w:lang w:eastAsia="en-GB"/>
        </w:rPr>
        <w:t xml:space="preserve"> </w:t>
      </w:r>
      <w:r w:rsidRPr="009D2C07">
        <w:rPr>
          <w:rFonts w:cs="Arial"/>
          <w:b/>
          <w:szCs w:val="24"/>
          <w:lang w:eastAsia="en-GB"/>
        </w:rPr>
        <w:t>Government Funding</w:t>
      </w:r>
    </w:p>
    <w:p w14:paraId="18C651C7" w14:textId="77777777" w:rsidR="009D2C07" w:rsidRPr="009D2C07" w:rsidRDefault="009D2C07" w:rsidP="009D2C07">
      <w:pPr>
        <w:tabs>
          <w:tab w:val="left" w:pos="0"/>
        </w:tabs>
        <w:autoSpaceDE w:val="0"/>
        <w:autoSpaceDN w:val="0"/>
        <w:adjustRightInd w:val="0"/>
        <w:spacing w:after="0" w:line="240" w:lineRule="auto"/>
        <w:jc w:val="both"/>
        <w:rPr>
          <w:rFonts w:cs="Arial"/>
          <w:szCs w:val="24"/>
          <w:lang w:eastAsia="en-GB"/>
        </w:rPr>
      </w:pPr>
    </w:p>
    <w:p w14:paraId="0B3C09B3" w14:textId="77777777" w:rsidR="009D2C07" w:rsidRPr="009D2C07" w:rsidRDefault="009D2C07" w:rsidP="009D2C07">
      <w:pPr>
        <w:tabs>
          <w:tab w:val="left" w:pos="567"/>
          <w:tab w:val="left" w:pos="1134"/>
        </w:tabs>
        <w:spacing w:after="0" w:line="240" w:lineRule="auto"/>
        <w:jc w:val="both"/>
        <w:rPr>
          <w:rFonts w:cs="Arial"/>
          <w:szCs w:val="24"/>
          <w:lang w:eastAsia="en-GB"/>
        </w:rPr>
      </w:pPr>
      <w:r w:rsidRPr="009D2C07">
        <w:rPr>
          <w:rFonts w:cs="Arial"/>
          <w:szCs w:val="24"/>
          <w:lang w:eastAsia="en-GB"/>
        </w:rPr>
        <w:t xml:space="preserve">The Provisional Settlement was announced on 19 December 2022 and confirmed the funding streams that had previously been announced as part of the Autumn Statement. </w:t>
      </w:r>
    </w:p>
    <w:p w14:paraId="194CD9AB" w14:textId="77777777" w:rsidR="009D2C07" w:rsidRPr="009D2C07" w:rsidRDefault="009D2C07" w:rsidP="009D2C07">
      <w:pPr>
        <w:tabs>
          <w:tab w:val="left" w:pos="567"/>
          <w:tab w:val="left" w:pos="1134"/>
        </w:tabs>
        <w:spacing w:after="0" w:line="240" w:lineRule="auto"/>
        <w:rPr>
          <w:rFonts w:cs="Arial"/>
          <w:szCs w:val="24"/>
          <w:lang w:eastAsia="en-GB"/>
        </w:rPr>
      </w:pPr>
    </w:p>
    <w:p w14:paraId="34472D18" w14:textId="77777777" w:rsidR="009D2C07" w:rsidRPr="009D2C07" w:rsidRDefault="009D2C07" w:rsidP="009D2C07">
      <w:pPr>
        <w:tabs>
          <w:tab w:val="left" w:pos="567"/>
          <w:tab w:val="left" w:pos="1134"/>
        </w:tabs>
        <w:spacing w:after="0" w:line="240" w:lineRule="auto"/>
        <w:jc w:val="both"/>
        <w:rPr>
          <w:rFonts w:cs="Arial"/>
          <w:color w:val="0B0C0C"/>
          <w:szCs w:val="20"/>
          <w:shd w:val="clear" w:color="auto" w:fill="FFFFFF"/>
          <w:lang w:eastAsia="en-GB"/>
        </w:rPr>
      </w:pPr>
      <w:r w:rsidRPr="009D2C07">
        <w:rPr>
          <w:rFonts w:cs="Arial"/>
          <w:color w:val="0B0C0C"/>
          <w:szCs w:val="20"/>
          <w:shd w:val="clear" w:color="auto" w:fill="FFFFFF"/>
          <w:lang w:eastAsia="en-GB"/>
        </w:rPr>
        <w:t>Whilst the Provisional Settlement aims to provide some certainty to councils over the next 2 years, this mainly relates to the confirmation of flexibility in the level of council tax increase rather than confirmation of grant values in 2024/25</w:t>
      </w:r>
      <w:r w:rsidRPr="009D2C07">
        <w:rPr>
          <w:rFonts w:eastAsia="Arial Nova" w:cs="Arial"/>
          <w:bCs/>
          <w:szCs w:val="20"/>
          <w:lang w:eastAsia="en-GB"/>
        </w:rPr>
        <w:t>. Estimates have been made of 2024/25 allocations using the same distribution formula being applied to funding streams in 2023/24</w:t>
      </w:r>
      <w:r w:rsidRPr="009D2C07">
        <w:rPr>
          <w:rFonts w:cs="Arial"/>
          <w:color w:val="0B0C0C"/>
          <w:szCs w:val="20"/>
          <w:shd w:val="clear" w:color="auto" w:fill="FFFFFF"/>
          <w:lang w:eastAsia="en-GB"/>
        </w:rPr>
        <w:t xml:space="preserve">. In addition, there remains uncertainty </w:t>
      </w:r>
      <w:proofErr w:type="gramStart"/>
      <w:r w:rsidRPr="009D2C07">
        <w:rPr>
          <w:rFonts w:cs="Arial"/>
          <w:color w:val="0B0C0C"/>
          <w:szCs w:val="20"/>
          <w:shd w:val="clear" w:color="auto" w:fill="FFFFFF"/>
          <w:lang w:eastAsia="en-GB"/>
        </w:rPr>
        <w:t>with regard to</w:t>
      </w:r>
      <w:proofErr w:type="gramEnd"/>
      <w:r w:rsidRPr="009D2C07">
        <w:rPr>
          <w:rFonts w:cs="Arial"/>
          <w:color w:val="0B0C0C"/>
          <w:szCs w:val="20"/>
          <w:shd w:val="clear" w:color="auto" w:fill="FFFFFF"/>
          <w:lang w:eastAsia="en-GB"/>
        </w:rPr>
        <w:t xml:space="preserve"> both the financial position and particularly funding levels from 2025/26 onwards. The </w:t>
      </w:r>
      <w:proofErr w:type="gramStart"/>
      <w:r w:rsidRPr="009D2C07">
        <w:rPr>
          <w:rFonts w:cs="Arial"/>
          <w:color w:val="0B0C0C"/>
          <w:szCs w:val="20"/>
          <w:shd w:val="clear" w:color="auto" w:fill="FFFFFF"/>
          <w:lang w:eastAsia="en-GB"/>
        </w:rPr>
        <w:t>medium term</w:t>
      </w:r>
      <w:proofErr w:type="gramEnd"/>
      <w:r w:rsidRPr="009D2C07">
        <w:rPr>
          <w:rFonts w:cs="Arial"/>
          <w:color w:val="0B0C0C"/>
          <w:szCs w:val="20"/>
          <w:shd w:val="clear" w:color="auto" w:fill="FFFFFF"/>
          <w:lang w:eastAsia="en-GB"/>
        </w:rPr>
        <w:t xml:space="preserve"> financial strategy makes the assumption that those grants provided in </w:t>
      </w:r>
      <w:r w:rsidRPr="009D2C07">
        <w:rPr>
          <w:rFonts w:cs="Arial"/>
          <w:color w:val="0B0C0C"/>
          <w:szCs w:val="20"/>
          <w:shd w:val="clear" w:color="auto" w:fill="FFFFFF"/>
          <w:lang w:eastAsia="en-GB"/>
        </w:rPr>
        <w:lastRenderedPageBreak/>
        <w:t>2023/24 and 2024/25 will continue at existing levels over the lifetime of the strategy, whether that be as a specific grant or as part of a new funding formula.</w:t>
      </w:r>
    </w:p>
    <w:p w14:paraId="2999BF7F" w14:textId="77777777" w:rsidR="009D2C07" w:rsidRPr="009D2C07" w:rsidRDefault="009D2C07" w:rsidP="009D2C07">
      <w:pPr>
        <w:tabs>
          <w:tab w:val="left" w:pos="567"/>
          <w:tab w:val="left" w:pos="1134"/>
        </w:tabs>
        <w:spacing w:after="0" w:line="240" w:lineRule="auto"/>
        <w:jc w:val="both"/>
        <w:rPr>
          <w:rFonts w:cs="Arial"/>
          <w:color w:val="0B0C0C"/>
          <w:szCs w:val="20"/>
          <w:shd w:val="clear" w:color="auto" w:fill="FFFFFF"/>
          <w:lang w:eastAsia="en-GB"/>
        </w:rPr>
      </w:pPr>
      <w:r w:rsidRPr="009D2C07">
        <w:rPr>
          <w:rFonts w:cs="Arial"/>
          <w:color w:val="0B0C0C"/>
          <w:szCs w:val="20"/>
          <w:shd w:val="clear" w:color="auto" w:fill="FFFFFF"/>
          <w:lang w:eastAsia="en-GB"/>
        </w:rPr>
        <w:t xml:space="preserve"> </w:t>
      </w:r>
    </w:p>
    <w:p w14:paraId="0A543372" w14:textId="77777777" w:rsidR="009D2C07" w:rsidRPr="009D2C07" w:rsidRDefault="009D2C07" w:rsidP="009D2C07">
      <w:pPr>
        <w:tabs>
          <w:tab w:val="left" w:pos="567"/>
          <w:tab w:val="left" w:pos="1134"/>
        </w:tabs>
        <w:spacing w:after="0" w:line="240" w:lineRule="auto"/>
        <w:jc w:val="both"/>
        <w:rPr>
          <w:szCs w:val="20"/>
          <w:lang w:eastAsia="en-GB"/>
        </w:rPr>
      </w:pPr>
      <w:r w:rsidRPr="009D2C07">
        <w:rPr>
          <w:szCs w:val="20"/>
          <w:lang w:eastAsia="en-GB"/>
        </w:rPr>
        <w:t xml:space="preserve">The Provisional Settlement contained detailed figures for additional social care funding and provided confirmation of the ability to increase council tax by 4.99% in 2023/24 and 2024/25 including a ringfenced 2% adult social care precept. Some information was provided as to what it is expected that the additional funding would be spent on, with more detail being provided in due course. The review of the funding formula and business rates retention remains delayed. Indications are that the earliest opportunity for this to be introduced would be 2025/26. </w:t>
      </w:r>
    </w:p>
    <w:p w14:paraId="5B465AC1" w14:textId="77777777" w:rsidR="009D2C07" w:rsidRPr="009D2C07" w:rsidRDefault="009D2C07" w:rsidP="009D2C07">
      <w:pPr>
        <w:tabs>
          <w:tab w:val="left" w:pos="567"/>
          <w:tab w:val="left" w:pos="1134"/>
        </w:tabs>
        <w:spacing w:after="0" w:line="240" w:lineRule="auto"/>
        <w:jc w:val="both"/>
        <w:rPr>
          <w:szCs w:val="20"/>
          <w:lang w:eastAsia="en-GB"/>
        </w:rPr>
      </w:pPr>
    </w:p>
    <w:p w14:paraId="35147CC0" w14:textId="77777777" w:rsidR="009D2C07" w:rsidRPr="009D2C07" w:rsidRDefault="009D2C07" w:rsidP="009D2C07">
      <w:pPr>
        <w:tabs>
          <w:tab w:val="left" w:pos="567"/>
          <w:tab w:val="left" w:pos="1134"/>
        </w:tabs>
        <w:spacing w:after="0" w:line="240" w:lineRule="auto"/>
        <w:jc w:val="both"/>
        <w:rPr>
          <w:szCs w:val="20"/>
          <w:lang w:eastAsia="en-GB"/>
        </w:rPr>
      </w:pPr>
      <w:r w:rsidRPr="009D2C07">
        <w:rPr>
          <w:szCs w:val="20"/>
          <w:lang w:eastAsia="en-GB"/>
        </w:rPr>
        <w:t xml:space="preserve">Consequently, the biggest risk exposure, and potential opportunity, is </w:t>
      </w:r>
      <w:proofErr w:type="gramStart"/>
      <w:r w:rsidRPr="009D2C07">
        <w:rPr>
          <w:szCs w:val="20"/>
          <w:lang w:eastAsia="en-GB"/>
        </w:rPr>
        <w:t>with regard to</w:t>
      </w:r>
      <w:proofErr w:type="gramEnd"/>
      <w:r w:rsidRPr="009D2C07">
        <w:rPr>
          <w:szCs w:val="20"/>
          <w:lang w:eastAsia="en-GB"/>
        </w:rPr>
        <w:t xml:space="preserve"> the uncertainty on future funding levels from 2025/26. </w:t>
      </w:r>
    </w:p>
    <w:p w14:paraId="6E029508" w14:textId="77777777" w:rsidR="009D2C07" w:rsidRPr="009D2C07" w:rsidRDefault="009D2C07" w:rsidP="009D2C07">
      <w:pPr>
        <w:autoSpaceDE w:val="0"/>
        <w:autoSpaceDN w:val="0"/>
        <w:adjustRightInd w:val="0"/>
        <w:spacing w:after="0" w:line="240" w:lineRule="auto"/>
        <w:outlineLvl w:val="0"/>
        <w:rPr>
          <w:rFonts w:cs="Arial"/>
          <w:szCs w:val="24"/>
          <w:highlight w:val="yellow"/>
          <w:lang w:eastAsia="en-GB"/>
        </w:rPr>
      </w:pPr>
    </w:p>
    <w:p w14:paraId="741C5874" w14:textId="77777777" w:rsidR="009D2C07" w:rsidRPr="009D2C07" w:rsidRDefault="009D2C07" w:rsidP="009D2C07">
      <w:pPr>
        <w:numPr>
          <w:ilvl w:val="0"/>
          <w:numId w:val="16"/>
        </w:numPr>
        <w:autoSpaceDE w:val="0"/>
        <w:autoSpaceDN w:val="0"/>
        <w:adjustRightInd w:val="0"/>
        <w:spacing w:after="0" w:line="240" w:lineRule="auto"/>
        <w:ind w:left="426" w:hanging="426"/>
        <w:outlineLvl w:val="0"/>
        <w:rPr>
          <w:rFonts w:cs="Arial"/>
          <w:b/>
          <w:szCs w:val="24"/>
          <w:lang w:eastAsia="en-GB"/>
        </w:rPr>
      </w:pPr>
      <w:r w:rsidRPr="009D2C07">
        <w:rPr>
          <w:rFonts w:cs="Arial"/>
          <w:b/>
          <w:szCs w:val="24"/>
          <w:lang w:eastAsia="en-GB"/>
        </w:rPr>
        <w:t>Service Demand and Service Price Pressures</w:t>
      </w:r>
    </w:p>
    <w:p w14:paraId="7E7A406A" w14:textId="77777777" w:rsidR="009D2C07" w:rsidRPr="009D2C07" w:rsidRDefault="009D2C07" w:rsidP="009D2C07">
      <w:pPr>
        <w:autoSpaceDE w:val="0"/>
        <w:autoSpaceDN w:val="0"/>
        <w:adjustRightInd w:val="0"/>
        <w:spacing w:after="0" w:line="240" w:lineRule="auto"/>
        <w:ind w:left="142"/>
        <w:outlineLvl w:val="0"/>
        <w:rPr>
          <w:rFonts w:cs="Arial"/>
          <w:szCs w:val="24"/>
          <w:lang w:eastAsia="en-GB"/>
        </w:rPr>
      </w:pPr>
    </w:p>
    <w:p w14:paraId="33062077" w14:textId="77777777" w:rsidR="009D2C07" w:rsidRPr="009D2C07" w:rsidRDefault="009D2C07" w:rsidP="009D2C07">
      <w:pPr>
        <w:autoSpaceDE w:val="0"/>
        <w:autoSpaceDN w:val="0"/>
        <w:adjustRightInd w:val="0"/>
        <w:spacing w:after="0" w:line="240" w:lineRule="auto"/>
        <w:jc w:val="both"/>
        <w:rPr>
          <w:rFonts w:cs="Arial"/>
          <w:szCs w:val="24"/>
          <w:highlight w:val="yellow"/>
          <w:lang w:eastAsia="en-GB"/>
        </w:rPr>
      </w:pPr>
      <w:r w:rsidRPr="009D2C07">
        <w:rPr>
          <w:rFonts w:cs="Arial"/>
          <w:szCs w:val="24"/>
          <w:lang w:eastAsia="en-GB"/>
        </w:rPr>
        <w:t xml:space="preserve">Common to all upper tier councils we continue to experience pressures on adult and children's social care, particularly </w:t>
      </w:r>
      <w:proofErr w:type="gramStart"/>
      <w:r w:rsidRPr="009D2C07">
        <w:rPr>
          <w:rFonts w:cs="Arial"/>
          <w:szCs w:val="24"/>
          <w:lang w:eastAsia="en-GB"/>
        </w:rPr>
        <w:t>with regard to</w:t>
      </w:r>
      <w:proofErr w:type="gramEnd"/>
      <w:r w:rsidRPr="009D2C07">
        <w:rPr>
          <w:rFonts w:cs="Arial"/>
          <w:szCs w:val="24"/>
          <w:lang w:eastAsia="en-GB"/>
        </w:rPr>
        <w:t xml:space="preserve"> homecare services in adult social care and the cost of residential placements in children's social care. As a consequence, increased demand and inflationary price pressures have been factored into the </w:t>
      </w:r>
      <w:proofErr w:type="gramStart"/>
      <w:r w:rsidRPr="009D2C07">
        <w:rPr>
          <w:rFonts w:cs="Arial"/>
          <w:szCs w:val="24"/>
          <w:lang w:eastAsia="en-GB"/>
        </w:rPr>
        <w:t>medium term</w:t>
      </w:r>
      <w:proofErr w:type="gramEnd"/>
      <w:r w:rsidRPr="009D2C07">
        <w:rPr>
          <w:rFonts w:cs="Arial"/>
          <w:szCs w:val="24"/>
          <w:lang w:eastAsia="en-GB"/>
        </w:rPr>
        <w:t xml:space="preserve"> financial strategy.  For adult social care services an additional £59m has been built in for increasing demand and a further £155m built in for expected price and inflationary fee pressures. Additional grant funding has been received as part of the Provisional Settlement to support both demand pressures and price increases including market sustainability and facilitating hospital discharge.  </w:t>
      </w:r>
    </w:p>
    <w:p w14:paraId="0D1835BF" w14:textId="77777777" w:rsidR="009D2C07" w:rsidRPr="009D2C07" w:rsidRDefault="009D2C07" w:rsidP="009D2C07">
      <w:pPr>
        <w:autoSpaceDE w:val="0"/>
        <w:autoSpaceDN w:val="0"/>
        <w:adjustRightInd w:val="0"/>
        <w:spacing w:after="0" w:line="240" w:lineRule="auto"/>
        <w:rPr>
          <w:rFonts w:cs="Arial"/>
          <w:i/>
          <w:szCs w:val="24"/>
          <w:lang w:eastAsia="en-GB"/>
        </w:rPr>
      </w:pPr>
    </w:p>
    <w:p w14:paraId="74D2A2EC"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Demand pressures are identified based on current and historical trends and population projections where appropriate (particularly linked to the ageing population in respect of adult social care). Detailed work continues to be undertaken focused on a better understanding of the causes of increasing demand and when it is likely that demand will return to more usual levels as the current high levels of demand have been a key contributing factor to the funding gap.  </w:t>
      </w:r>
    </w:p>
    <w:p w14:paraId="4FC11CF6"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3E80F27E"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Levels of inflation have been increasing during the year with the UK Consumer Price Index for November registered 10.7% year on year, although recent figures announced for December indicate that levels could have potentially reached their peak.   </w:t>
      </w:r>
    </w:p>
    <w:p w14:paraId="73E39F8A"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7E6C742E"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21B1FD14"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44469F30"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A particularly significant area is the care market, primarily residential, nursing and homecare, the funding of which is recognised as a significant issue regionally and nationally.  A significant amount has been included within the estimates to fund price increases as well as the impact of the national living wage on care providers. As part </w:t>
      </w:r>
      <w:r w:rsidRPr="009D2C07">
        <w:rPr>
          <w:rFonts w:cs="Arial"/>
          <w:szCs w:val="24"/>
          <w:lang w:eastAsia="en-GB"/>
        </w:rPr>
        <w:lastRenderedPageBreak/>
        <w:t>of the Provisional Settlement, additional funding was provided through various grants to support some of the additional costs across social care services. While further details are required on the conditions to this funding, it has been assumed within the estimates that those conditions can be satisfied.</w:t>
      </w:r>
    </w:p>
    <w:p w14:paraId="6455D3BF" w14:textId="77777777" w:rsidR="009D2C07" w:rsidRPr="009D2C07" w:rsidRDefault="009D2C07" w:rsidP="009D2C07">
      <w:pPr>
        <w:autoSpaceDE w:val="0"/>
        <w:autoSpaceDN w:val="0"/>
        <w:adjustRightInd w:val="0"/>
        <w:spacing w:after="0" w:line="240" w:lineRule="auto"/>
        <w:rPr>
          <w:rFonts w:cs="Arial"/>
          <w:i/>
          <w:szCs w:val="24"/>
          <w:highlight w:val="yellow"/>
          <w:lang w:eastAsia="en-GB"/>
        </w:rPr>
      </w:pPr>
    </w:p>
    <w:p w14:paraId="4BA92206" w14:textId="77777777" w:rsidR="009D2C07" w:rsidRPr="009D2C07" w:rsidRDefault="009D2C07" w:rsidP="009D2C07">
      <w:pPr>
        <w:numPr>
          <w:ilvl w:val="0"/>
          <w:numId w:val="16"/>
        </w:numPr>
        <w:spacing w:after="0" w:line="240" w:lineRule="auto"/>
        <w:jc w:val="both"/>
        <w:rPr>
          <w:rFonts w:eastAsia="Calibri" w:cs="Arial"/>
          <w:b/>
          <w:szCs w:val="24"/>
        </w:rPr>
      </w:pPr>
      <w:r w:rsidRPr="009D2C07">
        <w:rPr>
          <w:rFonts w:eastAsia="Calibri" w:cs="Arial"/>
          <w:b/>
          <w:szCs w:val="24"/>
        </w:rPr>
        <w:t xml:space="preserve">Pay </w:t>
      </w:r>
    </w:p>
    <w:p w14:paraId="328B1FA4" w14:textId="77777777" w:rsidR="009D2C07" w:rsidRPr="009D2C07" w:rsidRDefault="009D2C07" w:rsidP="009D2C07">
      <w:pPr>
        <w:spacing w:after="0" w:line="240" w:lineRule="auto"/>
        <w:jc w:val="both"/>
        <w:rPr>
          <w:rFonts w:eastAsia="Calibri" w:cs="Arial"/>
          <w:szCs w:val="24"/>
        </w:rPr>
      </w:pPr>
    </w:p>
    <w:p w14:paraId="1E4999CB" w14:textId="77777777" w:rsidR="009D2C07" w:rsidRPr="009D2C07" w:rsidRDefault="009D2C07" w:rsidP="009D2C07">
      <w:pPr>
        <w:autoSpaceDE w:val="0"/>
        <w:autoSpaceDN w:val="0"/>
        <w:adjustRightInd w:val="0"/>
        <w:spacing w:after="0" w:line="240" w:lineRule="auto"/>
        <w:jc w:val="both"/>
        <w:rPr>
          <w:rFonts w:cs="Arial"/>
          <w:szCs w:val="24"/>
          <w:lang w:eastAsia="en-GB"/>
        </w:rPr>
      </w:pPr>
      <w:proofErr w:type="gramStart"/>
      <w:r w:rsidRPr="009D2C07">
        <w:rPr>
          <w:rFonts w:cs="Arial"/>
          <w:szCs w:val="24"/>
          <w:lang w:eastAsia="en-GB"/>
        </w:rPr>
        <w:t>The majority of</w:t>
      </w:r>
      <w:proofErr w:type="gramEnd"/>
      <w:r w:rsidRPr="009D2C07">
        <w:rPr>
          <w:rFonts w:cs="Arial"/>
          <w:szCs w:val="24"/>
          <w:lang w:eastAsia="en-GB"/>
        </w:rPr>
        <w:t xml:space="preserve"> the pay bill is driven by the national pay agreement at £1,925 per full-time equivalent. At an average increase of 7% on the salary bill, this additional cost has been reflected in the budget. </w:t>
      </w:r>
    </w:p>
    <w:p w14:paraId="089DB19A"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24B324E8" w14:textId="77777777" w:rsidR="009D2C07" w:rsidRPr="009D2C07" w:rsidRDefault="009D2C07" w:rsidP="009D2C07">
      <w:pPr>
        <w:spacing w:after="0" w:line="240" w:lineRule="auto"/>
        <w:jc w:val="both"/>
        <w:rPr>
          <w:rFonts w:cs="Arial"/>
          <w:bCs/>
          <w:szCs w:val="20"/>
          <w:lang w:eastAsia="en-GB"/>
        </w:rPr>
      </w:pPr>
      <w:r w:rsidRPr="009D2C07">
        <w:rPr>
          <w:rFonts w:cs="Arial"/>
          <w:bCs/>
          <w:szCs w:val="20"/>
          <w:lang w:eastAsia="en-GB"/>
        </w:rPr>
        <w:t xml:space="preserve">Further to the announcement of the agreed pay award, assumptions relating to pay were increased, with budget provision made for an increase of 5% in 2023/24, 3% in 2024/25 and 2% in both 2025/26 and 2026/27. This change in assumption was made based on consideration of benchmarking information provided from other county councils, although the actual pay award will be in line with the outcome of the annual National Joint Council pay negotiations. </w:t>
      </w:r>
    </w:p>
    <w:p w14:paraId="079BA875"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799A519D"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 county council remains an accredited member of the Living Wage Foundation. </w:t>
      </w:r>
    </w:p>
    <w:p w14:paraId="3039EE52" w14:textId="77777777" w:rsidR="009D2C07" w:rsidRPr="009D2C07" w:rsidRDefault="009D2C07" w:rsidP="009D2C07">
      <w:pPr>
        <w:autoSpaceDE w:val="0"/>
        <w:autoSpaceDN w:val="0"/>
        <w:adjustRightInd w:val="0"/>
        <w:spacing w:after="0" w:line="240" w:lineRule="auto"/>
        <w:rPr>
          <w:rFonts w:cs="Arial"/>
          <w:i/>
          <w:szCs w:val="24"/>
          <w:highlight w:val="yellow"/>
          <w:lang w:eastAsia="en-GB"/>
        </w:rPr>
      </w:pPr>
    </w:p>
    <w:p w14:paraId="3978840D" w14:textId="77777777" w:rsidR="009D2C07" w:rsidRPr="009D2C07" w:rsidRDefault="009D2C07" w:rsidP="009D2C07">
      <w:pPr>
        <w:numPr>
          <w:ilvl w:val="0"/>
          <w:numId w:val="16"/>
        </w:numPr>
        <w:spacing w:after="0" w:line="240" w:lineRule="auto"/>
        <w:jc w:val="both"/>
        <w:rPr>
          <w:rFonts w:eastAsia="Calibri" w:cs="Arial"/>
          <w:b/>
          <w:szCs w:val="24"/>
        </w:rPr>
      </w:pPr>
      <w:r w:rsidRPr="009D2C07">
        <w:rPr>
          <w:rFonts w:eastAsia="Calibri" w:cs="Arial"/>
          <w:b/>
          <w:szCs w:val="24"/>
        </w:rPr>
        <w:t>Interest Rates</w:t>
      </w:r>
    </w:p>
    <w:p w14:paraId="5F6EAC68" w14:textId="77777777" w:rsidR="009D2C07" w:rsidRPr="009D2C07" w:rsidRDefault="009D2C07" w:rsidP="009D2C07">
      <w:pPr>
        <w:spacing w:after="0" w:line="240" w:lineRule="auto"/>
        <w:jc w:val="both"/>
        <w:rPr>
          <w:rFonts w:cs="Arial"/>
          <w:szCs w:val="20"/>
          <w:lang w:eastAsia="en-GB"/>
        </w:rPr>
      </w:pPr>
    </w:p>
    <w:p w14:paraId="33D8E8C6" w14:textId="77777777" w:rsidR="009D2C07" w:rsidRPr="009D2C07" w:rsidRDefault="009D2C07" w:rsidP="009D2C07">
      <w:pPr>
        <w:spacing w:after="0" w:line="240" w:lineRule="auto"/>
        <w:jc w:val="both"/>
        <w:rPr>
          <w:szCs w:val="20"/>
          <w:lang w:eastAsia="en-GB"/>
        </w:rPr>
      </w:pPr>
      <w:bookmarkStart w:id="2" w:name="_Hlk94104669"/>
      <w:r w:rsidRPr="009D2C07">
        <w:rPr>
          <w:szCs w:val="20"/>
          <w:lang w:eastAsia="en-GB"/>
        </w:rPr>
        <w:t xml:space="preserve">As a result of the inflationary pressures there have been steady increases in the level of interest rates throughout 2022/23, with rates starting the financial year at 0.75% and the interest rate from December 2023 being 3.5%. </w:t>
      </w:r>
    </w:p>
    <w:p w14:paraId="2366C95A" w14:textId="77777777" w:rsidR="009D2C07" w:rsidRPr="009D2C07" w:rsidRDefault="009D2C07" w:rsidP="009D2C07">
      <w:pPr>
        <w:spacing w:after="0" w:line="240" w:lineRule="auto"/>
        <w:jc w:val="both"/>
        <w:rPr>
          <w:szCs w:val="20"/>
          <w:lang w:eastAsia="en-GB"/>
        </w:rPr>
      </w:pPr>
    </w:p>
    <w:p w14:paraId="394737DF" w14:textId="77777777" w:rsidR="009D2C07" w:rsidRPr="009D2C07" w:rsidRDefault="009D2C07" w:rsidP="009D2C07">
      <w:pPr>
        <w:spacing w:after="0" w:line="240" w:lineRule="auto"/>
        <w:jc w:val="both"/>
        <w:rPr>
          <w:szCs w:val="20"/>
          <w:lang w:eastAsia="en-GB"/>
        </w:rPr>
      </w:pPr>
      <w:r w:rsidRPr="009D2C07">
        <w:rPr>
          <w:szCs w:val="20"/>
          <w:lang w:eastAsia="en-GB"/>
        </w:rPr>
        <w:t>The increase particularly impacts on the borrowing costs in support of the capital programme. Increases in forecast costs have been built into the estimates based on forecasts provided by our treasury management adviser Arlingclose.</w:t>
      </w:r>
      <w:r w:rsidRPr="009D2C07" w:rsidDel="00033A38">
        <w:rPr>
          <w:szCs w:val="20"/>
          <w:lang w:eastAsia="en-GB"/>
        </w:rPr>
        <w:t xml:space="preserve"> </w:t>
      </w:r>
    </w:p>
    <w:p w14:paraId="7C3725FF" w14:textId="77777777" w:rsidR="009D2C07" w:rsidRPr="009D2C07" w:rsidRDefault="009D2C07" w:rsidP="009D2C07">
      <w:pPr>
        <w:spacing w:after="0" w:line="240" w:lineRule="auto"/>
        <w:jc w:val="both"/>
        <w:rPr>
          <w:szCs w:val="20"/>
          <w:lang w:eastAsia="en-GB"/>
        </w:rPr>
      </w:pPr>
    </w:p>
    <w:bookmarkEnd w:id="2"/>
    <w:p w14:paraId="6AB9AC7B" w14:textId="77777777" w:rsidR="009D2C07" w:rsidRPr="009D2C07" w:rsidRDefault="009D2C07" w:rsidP="009D2C07">
      <w:pPr>
        <w:numPr>
          <w:ilvl w:val="0"/>
          <w:numId w:val="16"/>
        </w:numPr>
        <w:autoSpaceDE w:val="0"/>
        <w:autoSpaceDN w:val="0"/>
        <w:adjustRightInd w:val="0"/>
        <w:spacing w:after="0" w:line="240" w:lineRule="auto"/>
        <w:ind w:left="284" w:hanging="284"/>
        <w:outlineLvl w:val="0"/>
        <w:rPr>
          <w:rFonts w:cs="Arial"/>
          <w:b/>
          <w:szCs w:val="24"/>
          <w:lang w:eastAsia="en-GB"/>
        </w:rPr>
      </w:pPr>
      <w:r w:rsidRPr="009D2C07">
        <w:rPr>
          <w:rFonts w:cs="Arial"/>
          <w:b/>
          <w:szCs w:val="24"/>
          <w:lang w:eastAsia="en-GB"/>
        </w:rPr>
        <w:t>Savings Programme Delivery</w:t>
      </w:r>
    </w:p>
    <w:p w14:paraId="701AECD5" w14:textId="77777777" w:rsidR="009D2C07" w:rsidRPr="009D2C07" w:rsidRDefault="009D2C07" w:rsidP="009D2C07">
      <w:pPr>
        <w:autoSpaceDE w:val="0"/>
        <w:autoSpaceDN w:val="0"/>
        <w:adjustRightInd w:val="0"/>
        <w:spacing w:after="0" w:line="240" w:lineRule="auto"/>
        <w:rPr>
          <w:rFonts w:cs="Arial"/>
          <w:i/>
          <w:szCs w:val="24"/>
          <w:lang w:eastAsia="en-GB"/>
        </w:rPr>
      </w:pPr>
    </w:p>
    <w:p w14:paraId="53FC94C6" w14:textId="77777777" w:rsidR="009D2C07" w:rsidRPr="009D2C07" w:rsidRDefault="009D2C07" w:rsidP="009D2C07">
      <w:pPr>
        <w:spacing w:after="0" w:line="240" w:lineRule="auto"/>
        <w:jc w:val="both"/>
        <w:rPr>
          <w:rFonts w:cs="Arial"/>
          <w:szCs w:val="20"/>
          <w:lang w:eastAsia="en-GB"/>
        </w:rPr>
      </w:pPr>
      <w:r w:rsidRPr="009D2C07">
        <w:rPr>
          <w:rFonts w:cs="Arial"/>
          <w:szCs w:val="20"/>
          <w:lang w:eastAsia="en-GB"/>
        </w:rPr>
        <w:t xml:space="preserve">The scale of savings agreed to be delivered in previous budget rounds remains significant with c£30m budgeted to be delivered in 2022/23 and a further c£18m in later years. A further c£86m of additional savings proposals and £32m in strategic targets were agreed by Cabinet in November to form part of the 2023/24 budget proposals. </w:t>
      </w:r>
    </w:p>
    <w:p w14:paraId="1BE45144" w14:textId="77777777" w:rsidR="009D2C07" w:rsidRPr="009D2C07" w:rsidRDefault="009D2C07" w:rsidP="009D2C07">
      <w:pPr>
        <w:spacing w:after="0" w:line="240" w:lineRule="auto"/>
        <w:jc w:val="both"/>
        <w:rPr>
          <w:rFonts w:cs="Arial"/>
          <w:szCs w:val="20"/>
          <w:lang w:eastAsia="en-GB"/>
        </w:rPr>
      </w:pPr>
    </w:p>
    <w:p w14:paraId="210E4F4F" w14:textId="77777777" w:rsidR="009D2C07" w:rsidRPr="009D2C07" w:rsidRDefault="009D2C07" w:rsidP="009D2C07">
      <w:pPr>
        <w:spacing w:after="0" w:line="240" w:lineRule="auto"/>
        <w:jc w:val="both"/>
        <w:rPr>
          <w:rFonts w:cs="Arial"/>
          <w:szCs w:val="24"/>
          <w:lang w:eastAsia="en-GB"/>
        </w:rPr>
      </w:pPr>
      <w:r w:rsidRPr="009D2C07">
        <w:rPr>
          <w:rFonts w:cs="Arial"/>
          <w:szCs w:val="20"/>
          <w:lang w:eastAsia="en-GB"/>
        </w:rPr>
        <w:t xml:space="preserve">There are inherent risks in the delivery of any savings programme of this scale, particularly where they are directly linked to reducing the future demand for services. </w:t>
      </w:r>
      <w:r w:rsidRPr="009D2C07">
        <w:rPr>
          <w:rFonts w:cs="Arial"/>
          <w:szCs w:val="24"/>
          <w:lang w:eastAsia="en-GB"/>
        </w:rPr>
        <w:t>There are comprehensive arrangements in place to track delivery of financial savings and take corrective actions as required. We have</w:t>
      </w:r>
      <w:r w:rsidRPr="009D2C07">
        <w:rPr>
          <w:rFonts w:cs="Arial"/>
          <w:szCs w:val="20"/>
          <w:lang w:eastAsia="en-GB"/>
        </w:rPr>
        <w:t xml:space="preserve"> a strong track record of delivery of our saving plans and in d</w:t>
      </w:r>
      <w:r w:rsidRPr="009D2C07">
        <w:rPr>
          <w:rFonts w:cs="Arial"/>
          <w:szCs w:val="24"/>
          <w:lang w:eastAsia="en-GB"/>
        </w:rPr>
        <w:t>elivering balanced budgets over recent years, however this remains a significant risk on our risk register.</w:t>
      </w:r>
    </w:p>
    <w:p w14:paraId="3D05469E" w14:textId="77777777" w:rsidR="009D2C07" w:rsidRPr="009D2C07" w:rsidRDefault="009D2C07" w:rsidP="009D2C07">
      <w:pPr>
        <w:spacing w:after="0" w:line="240" w:lineRule="auto"/>
        <w:jc w:val="both"/>
        <w:rPr>
          <w:rFonts w:cs="Arial"/>
          <w:szCs w:val="20"/>
          <w:lang w:eastAsia="en-GB"/>
        </w:rPr>
      </w:pPr>
    </w:p>
    <w:p w14:paraId="0E72E8BA" w14:textId="77777777" w:rsidR="009D2C07" w:rsidRPr="009D2C07" w:rsidRDefault="009D2C07" w:rsidP="009D2C07">
      <w:pPr>
        <w:spacing w:after="0" w:line="240" w:lineRule="auto"/>
        <w:jc w:val="both"/>
        <w:rPr>
          <w:rFonts w:cs="Arial"/>
          <w:szCs w:val="20"/>
          <w:lang w:eastAsia="en-GB"/>
        </w:rPr>
      </w:pPr>
      <w:r w:rsidRPr="009D2C07">
        <w:rPr>
          <w:rFonts w:cs="Arial"/>
          <w:szCs w:val="20"/>
          <w:lang w:eastAsia="en-GB"/>
        </w:rPr>
        <w:t xml:space="preserve">Any significant under-delivery or slippage to delivery timeframes will create an additional funding pressure and impact on the ongoing and longer-term financial health of the council. However, there is a strong management focus on delivery of agreed savings and accelerated delivery will help to improve confidence as well as create opportunities for alternative investments. </w:t>
      </w:r>
    </w:p>
    <w:p w14:paraId="6956EC6D" w14:textId="77777777" w:rsidR="009D2C07" w:rsidRPr="009D2C07" w:rsidRDefault="009D2C07" w:rsidP="009D2C07">
      <w:pPr>
        <w:spacing w:after="0" w:line="240" w:lineRule="auto"/>
        <w:jc w:val="both"/>
        <w:rPr>
          <w:rFonts w:cs="Arial"/>
          <w:szCs w:val="20"/>
          <w:lang w:eastAsia="en-GB"/>
        </w:rPr>
      </w:pPr>
    </w:p>
    <w:p w14:paraId="46B90F07" w14:textId="77777777" w:rsidR="009D2C07" w:rsidRPr="009D2C07" w:rsidRDefault="009D2C07" w:rsidP="009D2C07">
      <w:pPr>
        <w:spacing w:after="0" w:line="240" w:lineRule="auto"/>
        <w:jc w:val="both"/>
        <w:rPr>
          <w:rFonts w:cs="Arial"/>
          <w:szCs w:val="20"/>
          <w:lang w:eastAsia="en-GB"/>
        </w:rPr>
      </w:pPr>
      <w:r w:rsidRPr="009D2C07">
        <w:rPr>
          <w:rFonts w:cs="Arial"/>
          <w:szCs w:val="20"/>
          <w:lang w:eastAsia="en-GB"/>
        </w:rPr>
        <w:t xml:space="preserve">Overall, I am satisfied that the council’s budgets are robust being underpinned by appropriate assumptions based on a variety of external and </w:t>
      </w:r>
      <w:r w:rsidRPr="00CD2786">
        <w:rPr>
          <w:rFonts w:cs="Arial"/>
          <w:szCs w:val="20"/>
          <w:lang w:eastAsia="en-GB"/>
        </w:rPr>
        <w:t xml:space="preserve">internal experts. We have also benchmarked data with other councils for added confidence. Of course, there are no absolutes and risk cannot be removed in its entirety. However, for all assumptions there are both upside and downside risks and the council </w:t>
      </w:r>
      <w:proofErr w:type="gramStart"/>
      <w:r w:rsidRPr="00CD2786">
        <w:rPr>
          <w:rFonts w:cs="Arial"/>
          <w:szCs w:val="20"/>
          <w:lang w:eastAsia="en-GB"/>
        </w:rPr>
        <w:t>has</w:t>
      </w:r>
      <w:proofErr w:type="gramEnd"/>
      <w:r w:rsidRPr="00CD2786">
        <w:rPr>
          <w:rFonts w:cs="Arial"/>
          <w:szCs w:val="20"/>
          <w:lang w:eastAsia="en-GB"/>
        </w:rPr>
        <w:t xml:space="preserve"> robust monitoring</w:t>
      </w:r>
      <w:r w:rsidRPr="009D2C07">
        <w:rPr>
          <w:rFonts w:cs="Arial"/>
          <w:szCs w:val="20"/>
          <w:lang w:eastAsia="en-GB"/>
        </w:rPr>
        <w:t xml:space="preserve"> and management arrangements to ensure early identification of emerging risks and opportunities enabling appropriate action taken.</w:t>
      </w:r>
    </w:p>
    <w:p w14:paraId="44825BEE"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580D91E0" w14:textId="77777777" w:rsidR="009D2C07" w:rsidRPr="009D2C07" w:rsidRDefault="009D2C07" w:rsidP="009D2C07">
      <w:pPr>
        <w:autoSpaceDE w:val="0"/>
        <w:autoSpaceDN w:val="0"/>
        <w:adjustRightInd w:val="0"/>
        <w:spacing w:after="0" w:line="240" w:lineRule="auto"/>
        <w:rPr>
          <w:rFonts w:cs="Arial"/>
          <w:b/>
          <w:szCs w:val="24"/>
          <w:lang w:eastAsia="en-GB"/>
        </w:rPr>
      </w:pPr>
      <w:r w:rsidRPr="009D2C07">
        <w:rPr>
          <w:rFonts w:cs="Arial"/>
          <w:b/>
          <w:szCs w:val="24"/>
          <w:lang w:eastAsia="en-GB"/>
        </w:rPr>
        <w:t>Adequacy of Reserves</w:t>
      </w:r>
    </w:p>
    <w:p w14:paraId="1BA2251B" w14:textId="77777777" w:rsidR="009D2C07" w:rsidRPr="009D2C07" w:rsidRDefault="009D2C07" w:rsidP="009D2C07">
      <w:pPr>
        <w:autoSpaceDE w:val="0"/>
        <w:autoSpaceDN w:val="0"/>
        <w:adjustRightInd w:val="0"/>
        <w:spacing w:after="0" w:line="240" w:lineRule="auto"/>
        <w:rPr>
          <w:rFonts w:cs="Arial"/>
          <w:b/>
          <w:szCs w:val="24"/>
          <w:lang w:eastAsia="en-GB"/>
        </w:rPr>
      </w:pPr>
    </w:p>
    <w:p w14:paraId="36763169"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 council holds reserves for </w:t>
      </w:r>
      <w:proofErr w:type="gramStart"/>
      <w:r w:rsidRPr="009D2C07">
        <w:rPr>
          <w:rFonts w:cs="Arial"/>
          <w:szCs w:val="24"/>
          <w:lang w:eastAsia="en-GB"/>
        </w:rPr>
        <w:t>a number of</w:t>
      </w:r>
      <w:proofErr w:type="gramEnd"/>
      <w:r w:rsidRPr="009D2C07">
        <w:rPr>
          <w:rFonts w:cs="Arial"/>
          <w:szCs w:val="24"/>
          <w:lang w:eastAsia="en-GB"/>
        </w:rPr>
        <w:t xml:space="preserve"> reasons:</w:t>
      </w:r>
    </w:p>
    <w:p w14:paraId="6F525040" w14:textId="77777777" w:rsidR="009D2C07" w:rsidRPr="009D2C07" w:rsidRDefault="009D2C07" w:rsidP="009D2C07">
      <w:pPr>
        <w:autoSpaceDE w:val="0"/>
        <w:autoSpaceDN w:val="0"/>
        <w:adjustRightInd w:val="0"/>
        <w:spacing w:after="0" w:line="240" w:lineRule="auto"/>
        <w:rPr>
          <w:rFonts w:cs="Arial"/>
          <w:szCs w:val="24"/>
          <w:lang w:eastAsia="en-GB"/>
        </w:rPr>
      </w:pPr>
    </w:p>
    <w:p w14:paraId="43DD8F8D" w14:textId="77777777" w:rsidR="009D2C07" w:rsidRPr="009D2C07" w:rsidRDefault="009D2C07" w:rsidP="009D2C07">
      <w:pPr>
        <w:numPr>
          <w:ilvl w:val="0"/>
          <w:numId w:val="17"/>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to enable the council to deal with unexpected events such as flooding or the destruction of a major asset through fire,</w:t>
      </w:r>
    </w:p>
    <w:p w14:paraId="25D8E812" w14:textId="77777777" w:rsidR="009D2C07" w:rsidRPr="009D2C07" w:rsidRDefault="009D2C07" w:rsidP="009D2C07">
      <w:pPr>
        <w:numPr>
          <w:ilvl w:val="0"/>
          <w:numId w:val="17"/>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to enable the council to manage variations in the demand for or cost of services which cause in year budget pressures, and</w:t>
      </w:r>
    </w:p>
    <w:p w14:paraId="0D4BB7D5" w14:textId="77777777" w:rsidR="009D2C07" w:rsidRPr="009D2C07" w:rsidRDefault="009D2C07" w:rsidP="009D2C07">
      <w:pPr>
        <w:numPr>
          <w:ilvl w:val="0"/>
          <w:numId w:val="17"/>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 xml:space="preserve">to fund specific projects or identified demands on the budget. </w:t>
      </w:r>
    </w:p>
    <w:p w14:paraId="2CD8302F"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7CBD51B0"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There is no 'right' answer to the question of the appropriate level of reserves for a local authority; this is a matter of judgement </w:t>
      </w:r>
      <w:proofErr w:type="gramStart"/>
      <w:r w:rsidRPr="009D2C07">
        <w:rPr>
          <w:rFonts w:cs="Arial"/>
          <w:szCs w:val="24"/>
          <w:lang w:eastAsia="en-GB"/>
        </w:rPr>
        <w:t>taking into account</w:t>
      </w:r>
      <w:proofErr w:type="gramEnd"/>
      <w:r w:rsidRPr="009D2C07">
        <w:rPr>
          <w:rFonts w:cs="Arial"/>
          <w:szCs w:val="24"/>
          <w:lang w:eastAsia="en-GB"/>
        </w:rPr>
        <w:t>:</w:t>
      </w:r>
    </w:p>
    <w:p w14:paraId="05F3CC3F"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74EF3160" w14:textId="77777777" w:rsidR="009D2C07" w:rsidRPr="009D2C07" w:rsidRDefault="009D2C07" w:rsidP="009D2C07">
      <w:pPr>
        <w:numPr>
          <w:ilvl w:val="0"/>
          <w:numId w:val="18"/>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the level of risk and opportunity evident within the budget as set out above,</w:t>
      </w:r>
    </w:p>
    <w:p w14:paraId="17461B53" w14:textId="77777777" w:rsidR="009D2C07" w:rsidRPr="009D2C07" w:rsidRDefault="009D2C07" w:rsidP="009D2C07">
      <w:pPr>
        <w:numPr>
          <w:ilvl w:val="0"/>
          <w:numId w:val="18"/>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a judgement on the effectiveness of budgetary control within the organisation, and</w:t>
      </w:r>
    </w:p>
    <w:p w14:paraId="779304E8" w14:textId="77777777" w:rsidR="009D2C07" w:rsidRPr="009D2C07" w:rsidRDefault="009D2C07" w:rsidP="009D2C07">
      <w:pPr>
        <w:numPr>
          <w:ilvl w:val="0"/>
          <w:numId w:val="18"/>
        </w:numPr>
        <w:autoSpaceDE w:val="0"/>
        <w:autoSpaceDN w:val="0"/>
        <w:adjustRightInd w:val="0"/>
        <w:spacing w:after="0" w:line="240" w:lineRule="auto"/>
        <w:jc w:val="both"/>
        <w:outlineLvl w:val="0"/>
        <w:rPr>
          <w:rFonts w:cs="Arial"/>
          <w:szCs w:val="24"/>
          <w:lang w:eastAsia="en-GB"/>
        </w:rPr>
      </w:pPr>
      <w:r w:rsidRPr="009D2C07">
        <w:rPr>
          <w:rFonts w:cs="Arial"/>
          <w:szCs w:val="24"/>
          <w:lang w:eastAsia="en-GB"/>
        </w:rPr>
        <w:t>the degree to which funds have already been set aside for specific purposes which will reduce the need for general reserves.</w:t>
      </w:r>
    </w:p>
    <w:p w14:paraId="5E303C9A" w14:textId="77777777" w:rsidR="009D2C07" w:rsidRPr="009D2C07" w:rsidRDefault="009D2C07" w:rsidP="009D2C07">
      <w:pPr>
        <w:autoSpaceDE w:val="0"/>
        <w:autoSpaceDN w:val="0"/>
        <w:adjustRightInd w:val="0"/>
        <w:spacing w:after="0" w:line="240" w:lineRule="auto"/>
        <w:ind w:left="720"/>
        <w:outlineLvl w:val="0"/>
        <w:rPr>
          <w:rFonts w:cs="Arial"/>
          <w:szCs w:val="24"/>
          <w:highlight w:val="yellow"/>
          <w:lang w:eastAsia="en-GB"/>
        </w:rPr>
      </w:pPr>
    </w:p>
    <w:p w14:paraId="7B91D7C1" w14:textId="4453A4E6" w:rsidR="009D2C07" w:rsidRPr="009D2C07" w:rsidRDefault="009D2C07" w:rsidP="009D2C07">
      <w:pPr>
        <w:autoSpaceDE w:val="0"/>
        <w:autoSpaceDN w:val="0"/>
        <w:adjustRightInd w:val="0"/>
        <w:spacing w:after="0" w:line="240" w:lineRule="auto"/>
        <w:jc w:val="both"/>
        <w:rPr>
          <w:rFonts w:cs="Arial"/>
          <w:szCs w:val="24"/>
          <w:highlight w:val="yellow"/>
          <w:lang w:eastAsia="en-GB"/>
        </w:rPr>
      </w:pPr>
      <w:r w:rsidRPr="009D2C07">
        <w:rPr>
          <w:rFonts w:cs="Arial"/>
          <w:szCs w:val="24"/>
          <w:lang w:eastAsia="en-GB"/>
        </w:rPr>
        <w:t xml:space="preserve">In relation to the council's general reserve (County Fund Balance), the forecast level </w:t>
      </w:r>
      <w:proofErr w:type="gramStart"/>
      <w:r w:rsidRPr="009D2C07">
        <w:rPr>
          <w:rFonts w:cs="Arial"/>
          <w:szCs w:val="24"/>
          <w:lang w:eastAsia="en-GB"/>
        </w:rPr>
        <w:t>at</w:t>
      </w:r>
      <w:proofErr w:type="gramEnd"/>
      <w:r w:rsidRPr="009D2C07">
        <w:rPr>
          <w:rFonts w:cs="Arial"/>
          <w:szCs w:val="24"/>
          <w:lang w:eastAsia="en-GB"/>
        </w:rPr>
        <w:t xml:space="preserve"> 31 March 202</w:t>
      </w:r>
      <w:r w:rsidR="003A3B8C">
        <w:rPr>
          <w:rFonts w:cs="Arial"/>
          <w:szCs w:val="24"/>
          <w:lang w:eastAsia="en-GB"/>
        </w:rPr>
        <w:t>3</w:t>
      </w:r>
      <w:r w:rsidRPr="009D2C07">
        <w:rPr>
          <w:rFonts w:cs="Arial"/>
          <w:szCs w:val="24"/>
          <w:lang w:eastAsia="en-GB"/>
        </w:rPr>
        <w:t xml:space="preserve"> is £23.437m.  In addition, the council is forecast to hold £36.3m by the end of the financial year as a formal treasury management reserve to hedge against the uncertainty and volatility inherent in these markets. The reserve will enable the council to manage unpredicted interest rate changes and associated risks over the short-term without directly impacting the revenue account.</w:t>
      </w:r>
    </w:p>
    <w:p w14:paraId="250EF1F7" w14:textId="77777777" w:rsidR="009D2C07" w:rsidRPr="009D2C07" w:rsidRDefault="009D2C07" w:rsidP="009D2C07">
      <w:pPr>
        <w:autoSpaceDE w:val="0"/>
        <w:autoSpaceDN w:val="0"/>
        <w:adjustRightInd w:val="0"/>
        <w:spacing w:after="0" w:line="240" w:lineRule="auto"/>
        <w:jc w:val="both"/>
        <w:rPr>
          <w:rFonts w:cs="Arial"/>
          <w:i/>
          <w:szCs w:val="24"/>
          <w:highlight w:val="yellow"/>
          <w:lang w:eastAsia="en-GB"/>
        </w:rPr>
      </w:pPr>
    </w:p>
    <w:p w14:paraId="4965451B"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 value of the council's uncommitted transitional reserve, which is available to support the revenue budget, is currently forecast to be £188.533m at the end of 2022/23 and is sufficient to meet the forecast funding gap within the current medium term financial strategy covering 2023/24 to 2026/27. </w:t>
      </w:r>
    </w:p>
    <w:p w14:paraId="4D18F560" w14:textId="77777777" w:rsidR="009D2C07" w:rsidRPr="009D2C07" w:rsidRDefault="009D2C07" w:rsidP="009D2C07">
      <w:pPr>
        <w:autoSpaceDE w:val="0"/>
        <w:autoSpaceDN w:val="0"/>
        <w:adjustRightInd w:val="0"/>
        <w:spacing w:after="0" w:line="240" w:lineRule="auto"/>
        <w:jc w:val="both"/>
        <w:rPr>
          <w:rFonts w:cs="Arial"/>
          <w:i/>
          <w:szCs w:val="24"/>
          <w:highlight w:val="yellow"/>
          <w:lang w:eastAsia="en-GB"/>
        </w:rPr>
      </w:pPr>
    </w:p>
    <w:p w14:paraId="518A322D"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The level of risk evident within the budget has been significant in recent years due to uncertainty in the </w:t>
      </w:r>
      <w:proofErr w:type="spellStart"/>
      <w:r w:rsidRPr="009D2C07">
        <w:rPr>
          <w:rFonts w:cs="Arial"/>
          <w:szCs w:val="24"/>
          <w:lang w:eastAsia="en-GB"/>
        </w:rPr>
        <w:t>macro economic</w:t>
      </w:r>
      <w:proofErr w:type="spellEnd"/>
      <w:r w:rsidRPr="009D2C07">
        <w:rPr>
          <w:rFonts w:cs="Arial"/>
          <w:szCs w:val="24"/>
          <w:lang w:eastAsia="en-GB"/>
        </w:rPr>
        <w:t xml:space="preserve"> outlook and funding levels. </w:t>
      </w:r>
      <w:proofErr w:type="gramStart"/>
      <w:r w:rsidRPr="009D2C07">
        <w:rPr>
          <w:rFonts w:cs="Arial"/>
          <w:szCs w:val="24"/>
          <w:lang w:eastAsia="en-GB"/>
        </w:rPr>
        <w:t>However</w:t>
      </w:r>
      <w:proofErr w:type="gramEnd"/>
      <w:r w:rsidRPr="009D2C07">
        <w:rPr>
          <w:rFonts w:cs="Arial"/>
          <w:szCs w:val="24"/>
          <w:lang w:eastAsia="en-GB"/>
        </w:rPr>
        <w:t xml:space="preserve"> as part of the Provisional Settlement the Government provided relative certainly as to the levels of funding for the next two years. The revenue budget for 2023/24 will need to be supported by reserves with an increasing gap forecast in subsequent years. The transitional reserve allows decisions to be made in a more measured and considered way while a sustainable budget is achieved.  </w:t>
      </w:r>
    </w:p>
    <w:p w14:paraId="3DB3BB12" w14:textId="77777777" w:rsidR="009D2C07" w:rsidRPr="009D2C07" w:rsidRDefault="009D2C07" w:rsidP="009D2C07">
      <w:pPr>
        <w:autoSpaceDE w:val="0"/>
        <w:autoSpaceDN w:val="0"/>
        <w:adjustRightInd w:val="0"/>
        <w:spacing w:after="0" w:line="240" w:lineRule="auto"/>
        <w:jc w:val="both"/>
        <w:rPr>
          <w:rFonts w:cs="Arial"/>
          <w:szCs w:val="24"/>
          <w:lang w:eastAsia="en-GB"/>
        </w:rPr>
      </w:pPr>
    </w:p>
    <w:p w14:paraId="331C6965" w14:textId="77777777" w:rsidR="009D2C07" w:rsidRPr="009D2C07" w:rsidRDefault="009D2C07" w:rsidP="009D2C07">
      <w:pPr>
        <w:autoSpaceDE w:val="0"/>
        <w:autoSpaceDN w:val="0"/>
        <w:adjustRightInd w:val="0"/>
        <w:spacing w:after="0" w:line="240" w:lineRule="auto"/>
        <w:jc w:val="both"/>
        <w:rPr>
          <w:rFonts w:cs="Arial"/>
          <w:szCs w:val="24"/>
          <w:lang w:eastAsia="en-GB"/>
        </w:rPr>
      </w:pPr>
      <w:r w:rsidRPr="009D2C07">
        <w:rPr>
          <w:rFonts w:cs="Arial"/>
          <w:szCs w:val="24"/>
          <w:lang w:eastAsia="en-GB"/>
        </w:rPr>
        <w:t xml:space="preserve">As part of the </w:t>
      </w:r>
      <w:proofErr w:type="gramStart"/>
      <w:r w:rsidRPr="009D2C07">
        <w:rPr>
          <w:rFonts w:cs="Arial"/>
          <w:szCs w:val="24"/>
          <w:lang w:eastAsia="en-GB"/>
        </w:rPr>
        <w:t>medium term</w:t>
      </w:r>
      <w:proofErr w:type="gramEnd"/>
      <w:r w:rsidRPr="009D2C07">
        <w:rPr>
          <w:rFonts w:cs="Arial"/>
          <w:szCs w:val="24"/>
          <w:lang w:eastAsia="en-GB"/>
        </w:rPr>
        <w:t xml:space="preserve"> financial strategy report, scenario analyses of the forecast financial position and impact on reserves has been undertaken. Overall, I am satisfied </w:t>
      </w:r>
      <w:r w:rsidRPr="009D2C07">
        <w:rPr>
          <w:rFonts w:cs="Arial"/>
          <w:szCs w:val="24"/>
          <w:lang w:eastAsia="en-GB"/>
        </w:rPr>
        <w:lastRenderedPageBreak/>
        <w:t xml:space="preserve">that the council has an appropriate level of reserves to cover the balanced risk assessment of our financial position from 2023/24 to 2026/27. However, it will be necessary for additional efficiencies, income generation and reduced costs to be achieved to bring the council to a financially sustainable position. </w:t>
      </w:r>
    </w:p>
    <w:p w14:paraId="3869D783" w14:textId="640428F2" w:rsidR="00771156" w:rsidRDefault="00771156" w:rsidP="00771156">
      <w:pPr>
        <w:pStyle w:val="paragraph"/>
        <w:spacing w:before="0" w:beforeAutospacing="0" w:after="0" w:afterAutospacing="0"/>
        <w:jc w:val="both"/>
        <w:textAlignment w:val="baseline"/>
        <w:rPr>
          <w:rFonts w:ascii="Segoe UI" w:hAnsi="Segoe UI" w:cs="Segoe UI"/>
          <w:sz w:val="18"/>
          <w:szCs w:val="18"/>
        </w:rPr>
      </w:pPr>
    </w:p>
    <w:p w14:paraId="4F7D81AC" w14:textId="77777777" w:rsidR="00771156" w:rsidRDefault="00771156" w:rsidP="0077115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F828E4" w14:textId="77777777" w:rsidR="00640F8C" w:rsidRPr="00AC2FA3" w:rsidRDefault="00640F8C" w:rsidP="00640F8C">
      <w:pPr>
        <w:spacing w:after="0"/>
        <w:jc w:val="both"/>
        <w:rPr>
          <w:rFonts w:cs="Arial"/>
          <w:b/>
          <w:bCs/>
          <w:szCs w:val="24"/>
        </w:rPr>
      </w:pPr>
    </w:p>
    <w:sectPr w:rsidR="00640F8C" w:rsidRPr="00AC2FA3" w:rsidSect="00640F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C0C4" w14:textId="77777777" w:rsidR="003163A7" w:rsidRDefault="003163A7">
      <w:pPr>
        <w:spacing w:after="0" w:line="240" w:lineRule="auto"/>
      </w:pPr>
      <w:r>
        <w:separator/>
      </w:r>
    </w:p>
  </w:endnote>
  <w:endnote w:type="continuationSeparator" w:id="0">
    <w:p w14:paraId="26ABC0FE" w14:textId="77777777" w:rsidR="003163A7" w:rsidRDefault="003163A7">
      <w:pPr>
        <w:spacing w:after="0" w:line="240" w:lineRule="auto"/>
      </w:pPr>
      <w:r>
        <w:continuationSeparator/>
      </w:r>
    </w:p>
  </w:endnote>
  <w:endnote w:type="continuationNotice" w:id="1">
    <w:p w14:paraId="6F4E6C9C" w14:textId="77777777" w:rsidR="003163A7" w:rsidRDefault="00316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78662"/>
      <w:docPartObj>
        <w:docPartGallery w:val="Page Numbers (Bottom of Page)"/>
        <w:docPartUnique/>
      </w:docPartObj>
    </w:sdtPr>
    <w:sdtEndPr>
      <w:rPr>
        <w:noProof/>
      </w:rPr>
    </w:sdtEndPr>
    <w:sdtContent>
      <w:p w14:paraId="3AB070B9" w14:textId="77777777" w:rsidR="00640F8C" w:rsidRDefault="00EE4778" w:rsidP="00640F8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sdtContent>
  </w:sdt>
  <w:p w14:paraId="2AC57CB0" w14:textId="77777777" w:rsidR="00640F8C" w:rsidRDefault="0064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B040" w14:textId="77777777" w:rsidR="003163A7" w:rsidRDefault="003163A7">
      <w:pPr>
        <w:spacing w:after="0" w:line="240" w:lineRule="auto"/>
      </w:pPr>
      <w:r>
        <w:separator/>
      </w:r>
    </w:p>
  </w:footnote>
  <w:footnote w:type="continuationSeparator" w:id="0">
    <w:p w14:paraId="528BAFB2" w14:textId="77777777" w:rsidR="003163A7" w:rsidRDefault="003163A7">
      <w:pPr>
        <w:spacing w:after="0" w:line="240" w:lineRule="auto"/>
      </w:pPr>
      <w:r>
        <w:continuationSeparator/>
      </w:r>
    </w:p>
  </w:footnote>
  <w:footnote w:type="continuationNotice" w:id="1">
    <w:p w14:paraId="5AA91438" w14:textId="77777777" w:rsidR="003163A7" w:rsidRDefault="003163A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GjVY9pZaSGLMg" int2:id="17Ix210x">
      <int2:state int2:value="Rejected" int2:type="AugLoop_Text_Critique"/>
    </int2:textHash>
    <int2:textHash int2:hashCode="IX5lCwrn8ZkQxQ" int2:id="1x37uCQB">
      <int2:state int2:value="Rejected" int2:type="AugLoop_Text_Critique"/>
    </int2:textHash>
    <int2:textHash int2:hashCode="6X/4wpXdfDElP/" int2:id="Ar6fntIT">
      <int2:state int2:value="Rejected" int2:type="AugLoop_Text_Critique"/>
    </int2:textHash>
    <int2:textHash int2:hashCode="mRxRKMviIKMYf0" int2:id="BXNrpcJK">
      <int2:state int2:value="Rejected" int2:type="AugLoop_Text_Critique"/>
    </int2:textHash>
    <int2:textHash int2:hashCode="rAWcASQ9gu3G13" int2:id="EKpcwmAO">
      <int2:state int2:value="Rejected" int2:type="LegacyProofing"/>
    </int2:textHash>
    <int2:textHash int2:hashCode="pZGmU5Q5PUeaBE" int2:id="LKqjMvb9">
      <int2:state int2:value="Rejected" int2:type="AugLoop_Text_Critique"/>
    </int2:textHash>
    <int2:textHash int2:hashCode="tVGxx0XZ13s94E" int2:id="YVwAU8AI">
      <int2:state int2:value="Rejected" int2:type="AugLoop_Text_Critique"/>
    </int2:textHash>
    <int2:textHash int2:hashCode="GluGdmDhqwZUJ7" int2:id="d7eDEYGw">
      <int2:state int2:value="Rejected" int2:type="AugLoop_Text_Critique"/>
    </int2:textHash>
    <int2:textHash int2:hashCode="H3oEKdRfvkeAQ5" int2:id="dfla7BiD">
      <int2:state int2:value="Rejected" int2:type="AugLoop_Text_Critique"/>
    </int2:textHash>
    <int2:textHash int2:hashCode="iO5027ADLA76fV" int2:id="mGya5wDX">
      <int2:state int2:value="Rejected" int2:type="AugLoop_Text_Critique"/>
    </int2:textHash>
    <int2:textHash int2:hashCode="VjEyTIQG5Cw5J+" int2:id="mLEQM34S">
      <int2:state int2:value="Rejected" int2:type="AugLoop_Text_Critique"/>
    </int2:textHash>
    <int2:textHash int2:hashCode="VRd/LyDcPFdCnc" int2:id="owXOYCIl">
      <int2:state int2:value="Rejected" int2:type="AugLoop_Text_Critique"/>
    </int2:textHash>
    <int2:textHash int2:hashCode="meMvYFi0opUO9A" int2:id="txeAMHrl">
      <int2:state int2:value="Rejected" int2:type="AugLoop_Text_Critique"/>
    </int2:textHash>
    <int2:textHash int2:hashCode="/fxfERBKzA8UTH" int2:id="yGhRmhxm">
      <int2:state int2:value="Rejected" int2:type="AugLoop_Text_Critique"/>
    </int2:textHash>
    <int2:textHash int2:hashCode="0lXQ0GySJQ8tJA" int2:id="ye5bGQWa">
      <int2:state int2:value="Rejected" int2:type="AugLoop_Text_Critique"/>
    </int2:textHash>
    <int2:bookmark int2:bookmarkName="_Int_4SJBWacK" int2:invalidationBookmarkName="" int2:hashCode="VRd/LyDcPFdCnc" int2:id="OBFMfl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522AF"/>
    <w:multiLevelType w:val="multilevel"/>
    <w:tmpl w:val="AAB2D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27E11"/>
    <w:multiLevelType w:val="hybridMultilevel"/>
    <w:tmpl w:val="DF38FBC0"/>
    <w:lvl w:ilvl="0" w:tplc="AFF8671C">
      <w:start w:val="1"/>
      <w:numFmt w:val="bullet"/>
      <w:lvlText w:val=""/>
      <w:lvlJc w:val="left"/>
      <w:pPr>
        <w:ind w:left="720" w:hanging="360"/>
      </w:pPr>
      <w:rPr>
        <w:rFonts w:ascii="Symbol" w:hAnsi="Symbol" w:hint="default"/>
      </w:rPr>
    </w:lvl>
    <w:lvl w:ilvl="1" w:tplc="29C259AC" w:tentative="1">
      <w:start w:val="1"/>
      <w:numFmt w:val="bullet"/>
      <w:lvlText w:val="o"/>
      <w:lvlJc w:val="left"/>
      <w:pPr>
        <w:ind w:left="1440" w:hanging="360"/>
      </w:pPr>
      <w:rPr>
        <w:rFonts w:ascii="Courier New" w:hAnsi="Courier New" w:cs="Courier New" w:hint="default"/>
      </w:rPr>
    </w:lvl>
    <w:lvl w:ilvl="2" w:tplc="9C98DBCA" w:tentative="1">
      <w:start w:val="1"/>
      <w:numFmt w:val="bullet"/>
      <w:lvlText w:val=""/>
      <w:lvlJc w:val="left"/>
      <w:pPr>
        <w:ind w:left="2160" w:hanging="360"/>
      </w:pPr>
      <w:rPr>
        <w:rFonts w:ascii="Wingdings" w:hAnsi="Wingdings" w:hint="default"/>
      </w:rPr>
    </w:lvl>
    <w:lvl w:ilvl="3" w:tplc="5CAEF54A" w:tentative="1">
      <w:start w:val="1"/>
      <w:numFmt w:val="bullet"/>
      <w:lvlText w:val=""/>
      <w:lvlJc w:val="left"/>
      <w:pPr>
        <w:ind w:left="2880" w:hanging="360"/>
      </w:pPr>
      <w:rPr>
        <w:rFonts w:ascii="Symbol" w:hAnsi="Symbol" w:hint="default"/>
      </w:rPr>
    </w:lvl>
    <w:lvl w:ilvl="4" w:tplc="C8EA4900" w:tentative="1">
      <w:start w:val="1"/>
      <w:numFmt w:val="bullet"/>
      <w:lvlText w:val="o"/>
      <w:lvlJc w:val="left"/>
      <w:pPr>
        <w:ind w:left="3600" w:hanging="360"/>
      </w:pPr>
      <w:rPr>
        <w:rFonts w:ascii="Courier New" w:hAnsi="Courier New" w:cs="Courier New" w:hint="default"/>
      </w:rPr>
    </w:lvl>
    <w:lvl w:ilvl="5" w:tplc="15A0E644" w:tentative="1">
      <w:start w:val="1"/>
      <w:numFmt w:val="bullet"/>
      <w:lvlText w:val=""/>
      <w:lvlJc w:val="left"/>
      <w:pPr>
        <w:ind w:left="4320" w:hanging="360"/>
      </w:pPr>
      <w:rPr>
        <w:rFonts w:ascii="Wingdings" w:hAnsi="Wingdings" w:hint="default"/>
      </w:rPr>
    </w:lvl>
    <w:lvl w:ilvl="6" w:tplc="73E6DFEE" w:tentative="1">
      <w:start w:val="1"/>
      <w:numFmt w:val="bullet"/>
      <w:lvlText w:val=""/>
      <w:lvlJc w:val="left"/>
      <w:pPr>
        <w:ind w:left="5040" w:hanging="360"/>
      </w:pPr>
      <w:rPr>
        <w:rFonts w:ascii="Symbol" w:hAnsi="Symbol" w:hint="default"/>
      </w:rPr>
    </w:lvl>
    <w:lvl w:ilvl="7" w:tplc="36A2492A" w:tentative="1">
      <w:start w:val="1"/>
      <w:numFmt w:val="bullet"/>
      <w:lvlText w:val="o"/>
      <w:lvlJc w:val="left"/>
      <w:pPr>
        <w:ind w:left="5760" w:hanging="360"/>
      </w:pPr>
      <w:rPr>
        <w:rFonts w:ascii="Courier New" w:hAnsi="Courier New" w:cs="Courier New" w:hint="default"/>
      </w:rPr>
    </w:lvl>
    <w:lvl w:ilvl="8" w:tplc="61B2832C" w:tentative="1">
      <w:start w:val="1"/>
      <w:numFmt w:val="bullet"/>
      <w:lvlText w:val=""/>
      <w:lvlJc w:val="left"/>
      <w:pPr>
        <w:ind w:left="6480" w:hanging="360"/>
      </w:pPr>
      <w:rPr>
        <w:rFonts w:ascii="Wingdings" w:hAnsi="Wingdings" w:hint="default"/>
      </w:rPr>
    </w:lvl>
  </w:abstractNum>
  <w:abstractNum w:abstractNumId="3" w15:restartNumberingAfterBreak="0">
    <w:nsid w:val="06370B6D"/>
    <w:multiLevelType w:val="hybridMultilevel"/>
    <w:tmpl w:val="F2C886E4"/>
    <w:lvl w:ilvl="0" w:tplc="F3D83568">
      <w:start w:val="1"/>
      <w:numFmt w:val="lowerLetter"/>
      <w:lvlText w:val="%1)"/>
      <w:lvlJc w:val="left"/>
      <w:pPr>
        <w:ind w:left="720" w:hanging="360"/>
      </w:pPr>
      <w:rPr>
        <w:rFonts w:hint="default"/>
      </w:rPr>
    </w:lvl>
    <w:lvl w:ilvl="1" w:tplc="543ABACE" w:tentative="1">
      <w:start w:val="1"/>
      <w:numFmt w:val="lowerLetter"/>
      <w:lvlText w:val="%2."/>
      <w:lvlJc w:val="left"/>
      <w:pPr>
        <w:ind w:left="1440" w:hanging="360"/>
      </w:pPr>
    </w:lvl>
    <w:lvl w:ilvl="2" w:tplc="E2F0BF90" w:tentative="1">
      <w:start w:val="1"/>
      <w:numFmt w:val="lowerRoman"/>
      <w:lvlText w:val="%3."/>
      <w:lvlJc w:val="right"/>
      <w:pPr>
        <w:ind w:left="2160" w:hanging="180"/>
      </w:pPr>
    </w:lvl>
    <w:lvl w:ilvl="3" w:tplc="67F6B5F8" w:tentative="1">
      <w:start w:val="1"/>
      <w:numFmt w:val="decimal"/>
      <w:lvlText w:val="%4."/>
      <w:lvlJc w:val="left"/>
      <w:pPr>
        <w:ind w:left="2880" w:hanging="360"/>
      </w:pPr>
    </w:lvl>
    <w:lvl w:ilvl="4" w:tplc="5B261A76" w:tentative="1">
      <w:start w:val="1"/>
      <w:numFmt w:val="lowerLetter"/>
      <w:lvlText w:val="%5."/>
      <w:lvlJc w:val="left"/>
      <w:pPr>
        <w:ind w:left="3600" w:hanging="360"/>
      </w:pPr>
    </w:lvl>
    <w:lvl w:ilvl="5" w:tplc="60ECAE14" w:tentative="1">
      <w:start w:val="1"/>
      <w:numFmt w:val="lowerRoman"/>
      <w:lvlText w:val="%6."/>
      <w:lvlJc w:val="right"/>
      <w:pPr>
        <w:ind w:left="4320" w:hanging="180"/>
      </w:pPr>
    </w:lvl>
    <w:lvl w:ilvl="6" w:tplc="AF3AC074" w:tentative="1">
      <w:start w:val="1"/>
      <w:numFmt w:val="decimal"/>
      <w:lvlText w:val="%7."/>
      <w:lvlJc w:val="left"/>
      <w:pPr>
        <w:ind w:left="5040" w:hanging="360"/>
      </w:pPr>
    </w:lvl>
    <w:lvl w:ilvl="7" w:tplc="BAEECFAE" w:tentative="1">
      <w:start w:val="1"/>
      <w:numFmt w:val="lowerLetter"/>
      <w:lvlText w:val="%8."/>
      <w:lvlJc w:val="left"/>
      <w:pPr>
        <w:ind w:left="5760" w:hanging="360"/>
      </w:pPr>
    </w:lvl>
    <w:lvl w:ilvl="8" w:tplc="0234C1B8" w:tentative="1">
      <w:start w:val="1"/>
      <w:numFmt w:val="lowerRoman"/>
      <w:lvlText w:val="%9."/>
      <w:lvlJc w:val="right"/>
      <w:pPr>
        <w:ind w:left="6480" w:hanging="180"/>
      </w:pPr>
    </w:lvl>
  </w:abstractNum>
  <w:abstractNum w:abstractNumId="4" w15:restartNumberingAfterBreak="0">
    <w:nsid w:val="0A563A20"/>
    <w:multiLevelType w:val="hybridMultilevel"/>
    <w:tmpl w:val="2724147E"/>
    <w:lvl w:ilvl="0" w:tplc="E78A2AC4">
      <w:start w:val="1"/>
      <w:numFmt w:val="bullet"/>
      <w:lvlText w:val=""/>
      <w:lvlJc w:val="left"/>
      <w:pPr>
        <w:ind w:left="720" w:hanging="360"/>
      </w:pPr>
      <w:rPr>
        <w:rFonts w:ascii="Symbol" w:hAnsi="Symbol" w:hint="default"/>
      </w:rPr>
    </w:lvl>
    <w:lvl w:ilvl="1" w:tplc="EA6827D0" w:tentative="1">
      <w:start w:val="1"/>
      <w:numFmt w:val="bullet"/>
      <w:lvlText w:val="o"/>
      <w:lvlJc w:val="left"/>
      <w:pPr>
        <w:ind w:left="1440" w:hanging="360"/>
      </w:pPr>
      <w:rPr>
        <w:rFonts w:ascii="Courier New" w:hAnsi="Courier New" w:cs="Courier New" w:hint="default"/>
      </w:rPr>
    </w:lvl>
    <w:lvl w:ilvl="2" w:tplc="C89801F6" w:tentative="1">
      <w:start w:val="1"/>
      <w:numFmt w:val="bullet"/>
      <w:lvlText w:val=""/>
      <w:lvlJc w:val="left"/>
      <w:pPr>
        <w:ind w:left="2160" w:hanging="360"/>
      </w:pPr>
      <w:rPr>
        <w:rFonts w:ascii="Wingdings" w:hAnsi="Wingdings" w:hint="default"/>
      </w:rPr>
    </w:lvl>
    <w:lvl w:ilvl="3" w:tplc="90988028" w:tentative="1">
      <w:start w:val="1"/>
      <w:numFmt w:val="bullet"/>
      <w:lvlText w:val=""/>
      <w:lvlJc w:val="left"/>
      <w:pPr>
        <w:ind w:left="2880" w:hanging="360"/>
      </w:pPr>
      <w:rPr>
        <w:rFonts w:ascii="Symbol" w:hAnsi="Symbol" w:hint="default"/>
      </w:rPr>
    </w:lvl>
    <w:lvl w:ilvl="4" w:tplc="FBB4C888" w:tentative="1">
      <w:start w:val="1"/>
      <w:numFmt w:val="bullet"/>
      <w:lvlText w:val="o"/>
      <w:lvlJc w:val="left"/>
      <w:pPr>
        <w:ind w:left="3600" w:hanging="360"/>
      </w:pPr>
      <w:rPr>
        <w:rFonts w:ascii="Courier New" w:hAnsi="Courier New" w:cs="Courier New" w:hint="default"/>
      </w:rPr>
    </w:lvl>
    <w:lvl w:ilvl="5" w:tplc="9D542790" w:tentative="1">
      <w:start w:val="1"/>
      <w:numFmt w:val="bullet"/>
      <w:lvlText w:val=""/>
      <w:lvlJc w:val="left"/>
      <w:pPr>
        <w:ind w:left="4320" w:hanging="360"/>
      </w:pPr>
      <w:rPr>
        <w:rFonts w:ascii="Wingdings" w:hAnsi="Wingdings" w:hint="default"/>
      </w:rPr>
    </w:lvl>
    <w:lvl w:ilvl="6" w:tplc="0BCAB586" w:tentative="1">
      <w:start w:val="1"/>
      <w:numFmt w:val="bullet"/>
      <w:lvlText w:val=""/>
      <w:lvlJc w:val="left"/>
      <w:pPr>
        <w:ind w:left="5040" w:hanging="360"/>
      </w:pPr>
      <w:rPr>
        <w:rFonts w:ascii="Symbol" w:hAnsi="Symbol" w:hint="default"/>
      </w:rPr>
    </w:lvl>
    <w:lvl w:ilvl="7" w:tplc="47F00E62" w:tentative="1">
      <w:start w:val="1"/>
      <w:numFmt w:val="bullet"/>
      <w:lvlText w:val="o"/>
      <w:lvlJc w:val="left"/>
      <w:pPr>
        <w:ind w:left="5760" w:hanging="360"/>
      </w:pPr>
      <w:rPr>
        <w:rFonts w:ascii="Courier New" w:hAnsi="Courier New" w:cs="Courier New" w:hint="default"/>
      </w:rPr>
    </w:lvl>
    <w:lvl w:ilvl="8" w:tplc="1E5E72F0" w:tentative="1">
      <w:start w:val="1"/>
      <w:numFmt w:val="bullet"/>
      <w:lvlText w:val=""/>
      <w:lvlJc w:val="left"/>
      <w:pPr>
        <w:ind w:left="6480" w:hanging="360"/>
      </w:pPr>
      <w:rPr>
        <w:rFonts w:ascii="Wingdings" w:hAnsi="Wingdings" w:hint="default"/>
      </w:rPr>
    </w:lvl>
  </w:abstractNum>
  <w:abstractNum w:abstractNumId="5" w15:restartNumberingAfterBreak="0">
    <w:nsid w:val="0F7D73D0"/>
    <w:multiLevelType w:val="hybridMultilevel"/>
    <w:tmpl w:val="914A5740"/>
    <w:lvl w:ilvl="0" w:tplc="B050A316">
      <w:start w:val="1"/>
      <w:numFmt w:val="bullet"/>
      <w:lvlText w:val=""/>
      <w:lvlJc w:val="left"/>
      <w:pPr>
        <w:ind w:left="720" w:hanging="360"/>
      </w:pPr>
      <w:rPr>
        <w:rFonts w:ascii="Symbol" w:hAnsi="Symbol" w:hint="default"/>
      </w:rPr>
    </w:lvl>
    <w:lvl w:ilvl="1" w:tplc="FBA2358E" w:tentative="1">
      <w:start w:val="1"/>
      <w:numFmt w:val="bullet"/>
      <w:lvlText w:val="o"/>
      <w:lvlJc w:val="left"/>
      <w:pPr>
        <w:ind w:left="1440" w:hanging="360"/>
      </w:pPr>
      <w:rPr>
        <w:rFonts w:ascii="Courier New" w:hAnsi="Courier New" w:cs="Courier New" w:hint="default"/>
      </w:rPr>
    </w:lvl>
    <w:lvl w:ilvl="2" w:tplc="E26037A8" w:tentative="1">
      <w:start w:val="1"/>
      <w:numFmt w:val="bullet"/>
      <w:lvlText w:val=""/>
      <w:lvlJc w:val="left"/>
      <w:pPr>
        <w:ind w:left="2160" w:hanging="360"/>
      </w:pPr>
      <w:rPr>
        <w:rFonts w:ascii="Wingdings" w:hAnsi="Wingdings" w:hint="default"/>
      </w:rPr>
    </w:lvl>
    <w:lvl w:ilvl="3" w:tplc="73BA36C0" w:tentative="1">
      <w:start w:val="1"/>
      <w:numFmt w:val="bullet"/>
      <w:lvlText w:val=""/>
      <w:lvlJc w:val="left"/>
      <w:pPr>
        <w:ind w:left="2880" w:hanging="360"/>
      </w:pPr>
      <w:rPr>
        <w:rFonts w:ascii="Symbol" w:hAnsi="Symbol" w:hint="default"/>
      </w:rPr>
    </w:lvl>
    <w:lvl w:ilvl="4" w:tplc="BB401D0C" w:tentative="1">
      <w:start w:val="1"/>
      <w:numFmt w:val="bullet"/>
      <w:lvlText w:val="o"/>
      <w:lvlJc w:val="left"/>
      <w:pPr>
        <w:ind w:left="3600" w:hanging="360"/>
      </w:pPr>
      <w:rPr>
        <w:rFonts w:ascii="Courier New" w:hAnsi="Courier New" w:cs="Courier New" w:hint="default"/>
      </w:rPr>
    </w:lvl>
    <w:lvl w:ilvl="5" w:tplc="DC983778" w:tentative="1">
      <w:start w:val="1"/>
      <w:numFmt w:val="bullet"/>
      <w:lvlText w:val=""/>
      <w:lvlJc w:val="left"/>
      <w:pPr>
        <w:ind w:left="4320" w:hanging="360"/>
      </w:pPr>
      <w:rPr>
        <w:rFonts w:ascii="Wingdings" w:hAnsi="Wingdings" w:hint="default"/>
      </w:rPr>
    </w:lvl>
    <w:lvl w:ilvl="6" w:tplc="4AE2170E" w:tentative="1">
      <w:start w:val="1"/>
      <w:numFmt w:val="bullet"/>
      <w:lvlText w:val=""/>
      <w:lvlJc w:val="left"/>
      <w:pPr>
        <w:ind w:left="5040" w:hanging="360"/>
      </w:pPr>
      <w:rPr>
        <w:rFonts w:ascii="Symbol" w:hAnsi="Symbol" w:hint="default"/>
      </w:rPr>
    </w:lvl>
    <w:lvl w:ilvl="7" w:tplc="B400D050" w:tentative="1">
      <w:start w:val="1"/>
      <w:numFmt w:val="bullet"/>
      <w:lvlText w:val="o"/>
      <w:lvlJc w:val="left"/>
      <w:pPr>
        <w:ind w:left="5760" w:hanging="360"/>
      </w:pPr>
      <w:rPr>
        <w:rFonts w:ascii="Courier New" w:hAnsi="Courier New" w:cs="Courier New" w:hint="default"/>
      </w:rPr>
    </w:lvl>
    <w:lvl w:ilvl="8" w:tplc="4CBAE846" w:tentative="1">
      <w:start w:val="1"/>
      <w:numFmt w:val="bullet"/>
      <w:lvlText w:val=""/>
      <w:lvlJc w:val="left"/>
      <w:pPr>
        <w:ind w:left="6480" w:hanging="360"/>
      </w:pPr>
      <w:rPr>
        <w:rFonts w:ascii="Wingdings" w:hAnsi="Wingdings" w:hint="default"/>
      </w:rPr>
    </w:lvl>
  </w:abstractNum>
  <w:abstractNum w:abstractNumId="6" w15:restartNumberingAfterBreak="0">
    <w:nsid w:val="1177247F"/>
    <w:multiLevelType w:val="hybridMultilevel"/>
    <w:tmpl w:val="A37C3C84"/>
    <w:lvl w:ilvl="0" w:tplc="3A6814F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7D02"/>
    <w:multiLevelType w:val="hybridMultilevel"/>
    <w:tmpl w:val="ED44D4A8"/>
    <w:lvl w:ilvl="0" w:tplc="DFD0C47C">
      <w:start w:val="1"/>
      <w:numFmt w:val="bullet"/>
      <w:lvlText w:val=""/>
      <w:lvlJc w:val="left"/>
      <w:pPr>
        <w:ind w:left="720" w:hanging="360"/>
      </w:pPr>
      <w:rPr>
        <w:rFonts w:ascii="Symbol" w:hAnsi="Symbol" w:hint="default"/>
      </w:rPr>
    </w:lvl>
    <w:lvl w:ilvl="1" w:tplc="5BD465D8" w:tentative="1">
      <w:start w:val="1"/>
      <w:numFmt w:val="bullet"/>
      <w:lvlText w:val="o"/>
      <w:lvlJc w:val="left"/>
      <w:pPr>
        <w:ind w:left="1440" w:hanging="360"/>
      </w:pPr>
      <w:rPr>
        <w:rFonts w:ascii="Courier New" w:hAnsi="Courier New" w:hint="default"/>
      </w:rPr>
    </w:lvl>
    <w:lvl w:ilvl="2" w:tplc="7110E9FE" w:tentative="1">
      <w:start w:val="1"/>
      <w:numFmt w:val="bullet"/>
      <w:lvlText w:val=""/>
      <w:lvlJc w:val="left"/>
      <w:pPr>
        <w:ind w:left="2160" w:hanging="360"/>
      </w:pPr>
      <w:rPr>
        <w:rFonts w:ascii="Wingdings" w:hAnsi="Wingdings" w:hint="default"/>
      </w:rPr>
    </w:lvl>
    <w:lvl w:ilvl="3" w:tplc="74264EA6" w:tentative="1">
      <w:start w:val="1"/>
      <w:numFmt w:val="bullet"/>
      <w:lvlText w:val=""/>
      <w:lvlJc w:val="left"/>
      <w:pPr>
        <w:ind w:left="2880" w:hanging="360"/>
      </w:pPr>
      <w:rPr>
        <w:rFonts w:ascii="Symbol" w:hAnsi="Symbol" w:hint="default"/>
      </w:rPr>
    </w:lvl>
    <w:lvl w:ilvl="4" w:tplc="C1B00104" w:tentative="1">
      <w:start w:val="1"/>
      <w:numFmt w:val="bullet"/>
      <w:lvlText w:val="o"/>
      <w:lvlJc w:val="left"/>
      <w:pPr>
        <w:ind w:left="3600" w:hanging="360"/>
      </w:pPr>
      <w:rPr>
        <w:rFonts w:ascii="Courier New" w:hAnsi="Courier New" w:hint="default"/>
      </w:rPr>
    </w:lvl>
    <w:lvl w:ilvl="5" w:tplc="2E001F94" w:tentative="1">
      <w:start w:val="1"/>
      <w:numFmt w:val="bullet"/>
      <w:lvlText w:val=""/>
      <w:lvlJc w:val="left"/>
      <w:pPr>
        <w:ind w:left="4320" w:hanging="360"/>
      </w:pPr>
      <w:rPr>
        <w:rFonts w:ascii="Wingdings" w:hAnsi="Wingdings" w:hint="default"/>
      </w:rPr>
    </w:lvl>
    <w:lvl w:ilvl="6" w:tplc="F52AE71A" w:tentative="1">
      <w:start w:val="1"/>
      <w:numFmt w:val="bullet"/>
      <w:lvlText w:val=""/>
      <w:lvlJc w:val="left"/>
      <w:pPr>
        <w:ind w:left="5040" w:hanging="360"/>
      </w:pPr>
      <w:rPr>
        <w:rFonts w:ascii="Symbol" w:hAnsi="Symbol" w:hint="default"/>
      </w:rPr>
    </w:lvl>
    <w:lvl w:ilvl="7" w:tplc="6ECC2762" w:tentative="1">
      <w:start w:val="1"/>
      <w:numFmt w:val="bullet"/>
      <w:lvlText w:val="o"/>
      <w:lvlJc w:val="left"/>
      <w:pPr>
        <w:ind w:left="5760" w:hanging="360"/>
      </w:pPr>
      <w:rPr>
        <w:rFonts w:ascii="Courier New" w:hAnsi="Courier New" w:hint="default"/>
      </w:rPr>
    </w:lvl>
    <w:lvl w:ilvl="8" w:tplc="62769F8C" w:tentative="1">
      <w:start w:val="1"/>
      <w:numFmt w:val="bullet"/>
      <w:lvlText w:val=""/>
      <w:lvlJc w:val="left"/>
      <w:pPr>
        <w:ind w:left="6480" w:hanging="360"/>
      </w:pPr>
      <w:rPr>
        <w:rFonts w:ascii="Wingdings" w:hAnsi="Wingdings" w:hint="default"/>
      </w:rPr>
    </w:lvl>
  </w:abstractNum>
  <w:abstractNum w:abstractNumId="8" w15:restartNumberingAfterBreak="0">
    <w:nsid w:val="13D51256"/>
    <w:multiLevelType w:val="hybridMultilevel"/>
    <w:tmpl w:val="742E944A"/>
    <w:lvl w:ilvl="0" w:tplc="8364FEDC">
      <w:start w:val="1"/>
      <w:numFmt w:val="lowerLetter"/>
      <w:lvlText w:val="%1)"/>
      <w:lvlJc w:val="left"/>
      <w:pPr>
        <w:ind w:left="720" w:hanging="360"/>
      </w:pPr>
      <w:rPr>
        <w:rFonts w:hint="default"/>
      </w:rPr>
    </w:lvl>
    <w:lvl w:ilvl="1" w:tplc="C4A8E14E" w:tentative="1">
      <w:start w:val="1"/>
      <w:numFmt w:val="lowerLetter"/>
      <w:lvlText w:val="%2."/>
      <w:lvlJc w:val="left"/>
      <w:pPr>
        <w:ind w:left="1440" w:hanging="360"/>
      </w:pPr>
    </w:lvl>
    <w:lvl w:ilvl="2" w:tplc="2F2E7088" w:tentative="1">
      <w:start w:val="1"/>
      <w:numFmt w:val="lowerRoman"/>
      <w:lvlText w:val="%3."/>
      <w:lvlJc w:val="right"/>
      <w:pPr>
        <w:ind w:left="2160" w:hanging="180"/>
      </w:pPr>
    </w:lvl>
    <w:lvl w:ilvl="3" w:tplc="896EA762" w:tentative="1">
      <w:start w:val="1"/>
      <w:numFmt w:val="decimal"/>
      <w:lvlText w:val="%4."/>
      <w:lvlJc w:val="left"/>
      <w:pPr>
        <w:ind w:left="2880" w:hanging="360"/>
      </w:pPr>
    </w:lvl>
    <w:lvl w:ilvl="4" w:tplc="C694BAF2" w:tentative="1">
      <w:start w:val="1"/>
      <w:numFmt w:val="lowerLetter"/>
      <w:lvlText w:val="%5."/>
      <w:lvlJc w:val="left"/>
      <w:pPr>
        <w:ind w:left="3600" w:hanging="360"/>
      </w:pPr>
    </w:lvl>
    <w:lvl w:ilvl="5" w:tplc="8B62B9E6" w:tentative="1">
      <w:start w:val="1"/>
      <w:numFmt w:val="lowerRoman"/>
      <w:lvlText w:val="%6."/>
      <w:lvlJc w:val="right"/>
      <w:pPr>
        <w:ind w:left="4320" w:hanging="180"/>
      </w:pPr>
    </w:lvl>
    <w:lvl w:ilvl="6" w:tplc="4F90C510" w:tentative="1">
      <w:start w:val="1"/>
      <w:numFmt w:val="decimal"/>
      <w:lvlText w:val="%7."/>
      <w:lvlJc w:val="left"/>
      <w:pPr>
        <w:ind w:left="5040" w:hanging="360"/>
      </w:pPr>
    </w:lvl>
    <w:lvl w:ilvl="7" w:tplc="79BA6D02" w:tentative="1">
      <w:start w:val="1"/>
      <w:numFmt w:val="lowerLetter"/>
      <w:lvlText w:val="%8."/>
      <w:lvlJc w:val="left"/>
      <w:pPr>
        <w:ind w:left="5760" w:hanging="360"/>
      </w:pPr>
    </w:lvl>
    <w:lvl w:ilvl="8" w:tplc="453C8470" w:tentative="1">
      <w:start w:val="1"/>
      <w:numFmt w:val="lowerRoman"/>
      <w:lvlText w:val="%9."/>
      <w:lvlJc w:val="right"/>
      <w:pPr>
        <w:ind w:left="6480" w:hanging="180"/>
      </w:pPr>
    </w:lvl>
  </w:abstractNum>
  <w:abstractNum w:abstractNumId="9"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1BC45A8C"/>
    <w:multiLevelType w:val="hybridMultilevel"/>
    <w:tmpl w:val="EEAE10A4"/>
    <w:lvl w:ilvl="0" w:tplc="BD003914">
      <w:start w:val="1"/>
      <w:numFmt w:val="bullet"/>
      <w:lvlText w:val=""/>
      <w:lvlJc w:val="left"/>
      <w:pPr>
        <w:ind w:left="720" w:hanging="360"/>
      </w:pPr>
      <w:rPr>
        <w:rFonts w:ascii="Symbol" w:hAnsi="Symbol" w:hint="default"/>
      </w:rPr>
    </w:lvl>
    <w:lvl w:ilvl="1" w:tplc="01B0F6E2" w:tentative="1">
      <w:start w:val="1"/>
      <w:numFmt w:val="bullet"/>
      <w:lvlText w:val="o"/>
      <w:lvlJc w:val="left"/>
      <w:pPr>
        <w:ind w:left="1440" w:hanging="360"/>
      </w:pPr>
      <w:rPr>
        <w:rFonts w:ascii="Courier New" w:hAnsi="Courier New" w:cs="Courier New" w:hint="default"/>
      </w:rPr>
    </w:lvl>
    <w:lvl w:ilvl="2" w:tplc="D6563124" w:tentative="1">
      <w:start w:val="1"/>
      <w:numFmt w:val="bullet"/>
      <w:lvlText w:val=""/>
      <w:lvlJc w:val="left"/>
      <w:pPr>
        <w:ind w:left="2160" w:hanging="360"/>
      </w:pPr>
      <w:rPr>
        <w:rFonts w:ascii="Wingdings" w:hAnsi="Wingdings" w:hint="default"/>
      </w:rPr>
    </w:lvl>
    <w:lvl w:ilvl="3" w:tplc="C2C4813C" w:tentative="1">
      <w:start w:val="1"/>
      <w:numFmt w:val="bullet"/>
      <w:lvlText w:val=""/>
      <w:lvlJc w:val="left"/>
      <w:pPr>
        <w:ind w:left="2880" w:hanging="360"/>
      </w:pPr>
      <w:rPr>
        <w:rFonts w:ascii="Symbol" w:hAnsi="Symbol" w:hint="default"/>
      </w:rPr>
    </w:lvl>
    <w:lvl w:ilvl="4" w:tplc="67E8B910" w:tentative="1">
      <w:start w:val="1"/>
      <w:numFmt w:val="bullet"/>
      <w:lvlText w:val="o"/>
      <w:lvlJc w:val="left"/>
      <w:pPr>
        <w:ind w:left="3600" w:hanging="360"/>
      </w:pPr>
      <w:rPr>
        <w:rFonts w:ascii="Courier New" w:hAnsi="Courier New" w:cs="Courier New" w:hint="default"/>
      </w:rPr>
    </w:lvl>
    <w:lvl w:ilvl="5" w:tplc="230AB9CA" w:tentative="1">
      <w:start w:val="1"/>
      <w:numFmt w:val="bullet"/>
      <w:lvlText w:val=""/>
      <w:lvlJc w:val="left"/>
      <w:pPr>
        <w:ind w:left="4320" w:hanging="360"/>
      </w:pPr>
      <w:rPr>
        <w:rFonts w:ascii="Wingdings" w:hAnsi="Wingdings" w:hint="default"/>
      </w:rPr>
    </w:lvl>
    <w:lvl w:ilvl="6" w:tplc="342E1490" w:tentative="1">
      <w:start w:val="1"/>
      <w:numFmt w:val="bullet"/>
      <w:lvlText w:val=""/>
      <w:lvlJc w:val="left"/>
      <w:pPr>
        <w:ind w:left="5040" w:hanging="360"/>
      </w:pPr>
      <w:rPr>
        <w:rFonts w:ascii="Symbol" w:hAnsi="Symbol" w:hint="default"/>
      </w:rPr>
    </w:lvl>
    <w:lvl w:ilvl="7" w:tplc="232A7992" w:tentative="1">
      <w:start w:val="1"/>
      <w:numFmt w:val="bullet"/>
      <w:lvlText w:val="o"/>
      <w:lvlJc w:val="left"/>
      <w:pPr>
        <w:ind w:left="5760" w:hanging="360"/>
      </w:pPr>
      <w:rPr>
        <w:rFonts w:ascii="Courier New" w:hAnsi="Courier New" w:cs="Courier New" w:hint="default"/>
      </w:rPr>
    </w:lvl>
    <w:lvl w:ilvl="8" w:tplc="515CA9BA" w:tentative="1">
      <w:start w:val="1"/>
      <w:numFmt w:val="bullet"/>
      <w:lvlText w:val=""/>
      <w:lvlJc w:val="left"/>
      <w:pPr>
        <w:ind w:left="6480" w:hanging="360"/>
      </w:pPr>
      <w:rPr>
        <w:rFonts w:ascii="Wingdings" w:hAnsi="Wingdings" w:hint="default"/>
      </w:rPr>
    </w:lvl>
  </w:abstractNum>
  <w:abstractNum w:abstractNumId="11" w15:restartNumberingAfterBreak="0">
    <w:nsid w:val="23372B68"/>
    <w:multiLevelType w:val="hybridMultilevel"/>
    <w:tmpl w:val="401AB8EE"/>
    <w:lvl w:ilvl="0" w:tplc="AB7C40BA">
      <w:start w:val="1"/>
      <w:numFmt w:val="bullet"/>
      <w:lvlText w:val=""/>
      <w:lvlJc w:val="left"/>
      <w:pPr>
        <w:ind w:left="720" w:hanging="360"/>
      </w:pPr>
      <w:rPr>
        <w:rFonts w:ascii="Symbol" w:hAnsi="Symbol" w:hint="default"/>
      </w:rPr>
    </w:lvl>
    <w:lvl w:ilvl="1" w:tplc="9B56D6DA" w:tentative="1">
      <w:start w:val="1"/>
      <w:numFmt w:val="bullet"/>
      <w:lvlText w:val="o"/>
      <w:lvlJc w:val="left"/>
      <w:pPr>
        <w:ind w:left="1440" w:hanging="360"/>
      </w:pPr>
      <w:rPr>
        <w:rFonts w:ascii="Courier New" w:hAnsi="Courier New" w:cs="Courier New" w:hint="default"/>
      </w:rPr>
    </w:lvl>
    <w:lvl w:ilvl="2" w:tplc="0CBE3702" w:tentative="1">
      <w:start w:val="1"/>
      <w:numFmt w:val="bullet"/>
      <w:lvlText w:val=""/>
      <w:lvlJc w:val="left"/>
      <w:pPr>
        <w:ind w:left="2160" w:hanging="360"/>
      </w:pPr>
      <w:rPr>
        <w:rFonts w:ascii="Wingdings" w:hAnsi="Wingdings" w:hint="default"/>
      </w:rPr>
    </w:lvl>
    <w:lvl w:ilvl="3" w:tplc="C3728C76" w:tentative="1">
      <w:start w:val="1"/>
      <w:numFmt w:val="bullet"/>
      <w:lvlText w:val=""/>
      <w:lvlJc w:val="left"/>
      <w:pPr>
        <w:ind w:left="2880" w:hanging="360"/>
      </w:pPr>
      <w:rPr>
        <w:rFonts w:ascii="Symbol" w:hAnsi="Symbol" w:hint="default"/>
      </w:rPr>
    </w:lvl>
    <w:lvl w:ilvl="4" w:tplc="FB4ACEB6" w:tentative="1">
      <w:start w:val="1"/>
      <w:numFmt w:val="bullet"/>
      <w:lvlText w:val="o"/>
      <w:lvlJc w:val="left"/>
      <w:pPr>
        <w:ind w:left="3600" w:hanging="360"/>
      </w:pPr>
      <w:rPr>
        <w:rFonts w:ascii="Courier New" w:hAnsi="Courier New" w:cs="Courier New" w:hint="default"/>
      </w:rPr>
    </w:lvl>
    <w:lvl w:ilvl="5" w:tplc="914230FE" w:tentative="1">
      <w:start w:val="1"/>
      <w:numFmt w:val="bullet"/>
      <w:lvlText w:val=""/>
      <w:lvlJc w:val="left"/>
      <w:pPr>
        <w:ind w:left="4320" w:hanging="360"/>
      </w:pPr>
      <w:rPr>
        <w:rFonts w:ascii="Wingdings" w:hAnsi="Wingdings" w:hint="default"/>
      </w:rPr>
    </w:lvl>
    <w:lvl w:ilvl="6" w:tplc="D6E6D9F0" w:tentative="1">
      <w:start w:val="1"/>
      <w:numFmt w:val="bullet"/>
      <w:lvlText w:val=""/>
      <w:lvlJc w:val="left"/>
      <w:pPr>
        <w:ind w:left="5040" w:hanging="360"/>
      </w:pPr>
      <w:rPr>
        <w:rFonts w:ascii="Symbol" w:hAnsi="Symbol" w:hint="default"/>
      </w:rPr>
    </w:lvl>
    <w:lvl w:ilvl="7" w:tplc="8D684E74" w:tentative="1">
      <w:start w:val="1"/>
      <w:numFmt w:val="bullet"/>
      <w:lvlText w:val="o"/>
      <w:lvlJc w:val="left"/>
      <w:pPr>
        <w:ind w:left="5760" w:hanging="360"/>
      </w:pPr>
      <w:rPr>
        <w:rFonts w:ascii="Courier New" w:hAnsi="Courier New" w:cs="Courier New" w:hint="default"/>
      </w:rPr>
    </w:lvl>
    <w:lvl w:ilvl="8" w:tplc="20D62370" w:tentative="1">
      <w:start w:val="1"/>
      <w:numFmt w:val="bullet"/>
      <w:lvlText w:val=""/>
      <w:lvlJc w:val="left"/>
      <w:pPr>
        <w:ind w:left="6480" w:hanging="360"/>
      </w:pPr>
      <w:rPr>
        <w:rFonts w:ascii="Wingdings" w:hAnsi="Wingdings" w:hint="default"/>
      </w:rPr>
    </w:lvl>
  </w:abstractNum>
  <w:abstractNum w:abstractNumId="12" w15:restartNumberingAfterBreak="0">
    <w:nsid w:val="346A096F"/>
    <w:multiLevelType w:val="multilevel"/>
    <w:tmpl w:val="4F5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212FF"/>
    <w:multiLevelType w:val="hybridMultilevel"/>
    <w:tmpl w:val="F14E0318"/>
    <w:lvl w:ilvl="0" w:tplc="6F00CBF2">
      <w:start w:val="1"/>
      <w:numFmt w:val="bullet"/>
      <w:lvlText w:val=""/>
      <w:lvlJc w:val="left"/>
      <w:pPr>
        <w:ind w:left="720" w:hanging="360"/>
      </w:pPr>
      <w:rPr>
        <w:rFonts w:ascii="Symbol" w:hAnsi="Symbol" w:hint="default"/>
      </w:rPr>
    </w:lvl>
    <w:lvl w:ilvl="1" w:tplc="7A963DCE" w:tentative="1">
      <w:start w:val="1"/>
      <w:numFmt w:val="bullet"/>
      <w:lvlText w:val="o"/>
      <w:lvlJc w:val="left"/>
      <w:pPr>
        <w:ind w:left="1440" w:hanging="360"/>
      </w:pPr>
      <w:rPr>
        <w:rFonts w:ascii="Courier New" w:hAnsi="Courier New" w:cs="Courier New" w:hint="default"/>
      </w:rPr>
    </w:lvl>
    <w:lvl w:ilvl="2" w:tplc="813A000E" w:tentative="1">
      <w:start w:val="1"/>
      <w:numFmt w:val="bullet"/>
      <w:lvlText w:val=""/>
      <w:lvlJc w:val="left"/>
      <w:pPr>
        <w:ind w:left="2160" w:hanging="360"/>
      </w:pPr>
      <w:rPr>
        <w:rFonts w:ascii="Wingdings" w:hAnsi="Wingdings" w:hint="default"/>
      </w:rPr>
    </w:lvl>
    <w:lvl w:ilvl="3" w:tplc="93B29BAA" w:tentative="1">
      <w:start w:val="1"/>
      <w:numFmt w:val="bullet"/>
      <w:lvlText w:val=""/>
      <w:lvlJc w:val="left"/>
      <w:pPr>
        <w:ind w:left="2880" w:hanging="360"/>
      </w:pPr>
      <w:rPr>
        <w:rFonts w:ascii="Symbol" w:hAnsi="Symbol" w:hint="default"/>
      </w:rPr>
    </w:lvl>
    <w:lvl w:ilvl="4" w:tplc="435471A2" w:tentative="1">
      <w:start w:val="1"/>
      <w:numFmt w:val="bullet"/>
      <w:lvlText w:val="o"/>
      <w:lvlJc w:val="left"/>
      <w:pPr>
        <w:ind w:left="3600" w:hanging="360"/>
      </w:pPr>
      <w:rPr>
        <w:rFonts w:ascii="Courier New" w:hAnsi="Courier New" w:cs="Courier New" w:hint="default"/>
      </w:rPr>
    </w:lvl>
    <w:lvl w:ilvl="5" w:tplc="B8BC9BEA" w:tentative="1">
      <w:start w:val="1"/>
      <w:numFmt w:val="bullet"/>
      <w:lvlText w:val=""/>
      <w:lvlJc w:val="left"/>
      <w:pPr>
        <w:ind w:left="4320" w:hanging="360"/>
      </w:pPr>
      <w:rPr>
        <w:rFonts w:ascii="Wingdings" w:hAnsi="Wingdings" w:hint="default"/>
      </w:rPr>
    </w:lvl>
    <w:lvl w:ilvl="6" w:tplc="F89E8388" w:tentative="1">
      <w:start w:val="1"/>
      <w:numFmt w:val="bullet"/>
      <w:lvlText w:val=""/>
      <w:lvlJc w:val="left"/>
      <w:pPr>
        <w:ind w:left="5040" w:hanging="360"/>
      </w:pPr>
      <w:rPr>
        <w:rFonts w:ascii="Symbol" w:hAnsi="Symbol" w:hint="default"/>
      </w:rPr>
    </w:lvl>
    <w:lvl w:ilvl="7" w:tplc="9648DE02" w:tentative="1">
      <w:start w:val="1"/>
      <w:numFmt w:val="bullet"/>
      <w:lvlText w:val="o"/>
      <w:lvlJc w:val="left"/>
      <w:pPr>
        <w:ind w:left="5760" w:hanging="360"/>
      </w:pPr>
      <w:rPr>
        <w:rFonts w:ascii="Courier New" w:hAnsi="Courier New" w:cs="Courier New" w:hint="default"/>
      </w:rPr>
    </w:lvl>
    <w:lvl w:ilvl="8" w:tplc="A0BCE1AA" w:tentative="1">
      <w:start w:val="1"/>
      <w:numFmt w:val="bullet"/>
      <w:lvlText w:val=""/>
      <w:lvlJc w:val="left"/>
      <w:pPr>
        <w:ind w:left="6480" w:hanging="360"/>
      </w:pPr>
      <w:rPr>
        <w:rFonts w:ascii="Wingdings" w:hAnsi="Wingdings" w:hint="default"/>
      </w:rPr>
    </w:lvl>
  </w:abstractNum>
  <w:abstractNum w:abstractNumId="14" w15:restartNumberingAfterBreak="0">
    <w:nsid w:val="3DC6052B"/>
    <w:multiLevelType w:val="hybridMultilevel"/>
    <w:tmpl w:val="FD4CF25E"/>
    <w:lvl w:ilvl="0" w:tplc="019AE096">
      <w:start w:val="1"/>
      <w:numFmt w:val="bullet"/>
      <w:lvlText w:val=""/>
      <w:lvlJc w:val="left"/>
      <w:pPr>
        <w:ind w:left="720" w:hanging="360"/>
      </w:pPr>
      <w:rPr>
        <w:rFonts w:ascii="Symbol" w:hAnsi="Symbol" w:hint="default"/>
      </w:rPr>
    </w:lvl>
    <w:lvl w:ilvl="1" w:tplc="6688F03A" w:tentative="1">
      <w:start w:val="1"/>
      <w:numFmt w:val="bullet"/>
      <w:lvlText w:val="o"/>
      <w:lvlJc w:val="left"/>
      <w:pPr>
        <w:ind w:left="1440" w:hanging="360"/>
      </w:pPr>
      <w:rPr>
        <w:rFonts w:ascii="Courier New" w:hAnsi="Courier New" w:cs="Courier New" w:hint="default"/>
      </w:rPr>
    </w:lvl>
    <w:lvl w:ilvl="2" w:tplc="A9329882" w:tentative="1">
      <w:start w:val="1"/>
      <w:numFmt w:val="bullet"/>
      <w:lvlText w:val=""/>
      <w:lvlJc w:val="left"/>
      <w:pPr>
        <w:ind w:left="2160" w:hanging="360"/>
      </w:pPr>
      <w:rPr>
        <w:rFonts w:ascii="Wingdings" w:hAnsi="Wingdings" w:hint="default"/>
      </w:rPr>
    </w:lvl>
    <w:lvl w:ilvl="3" w:tplc="60006EE6" w:tentative="1">
      <w:start w:val="1"/>
      <w:numFmt w:val="bullet"/>
      <w:lvlText w:val=""/>
      <w:lvlJc w:val="left"/>
      <w:pPr>
        <w:ind w:left="2880" w:hanging="360"/>
      </w:pPr>
      <w:rPr>
        <w:rFonts w:ascii="Symbol" w:hAnsi="Symbol" w:hint="default"/>
      </w:rPr>
    </w:lvl>
    <w:lvl w:ilvl="4" w:tplc="E68074BC" w:tentative="1">
      <w:start w:val="1"/>
      <w:numFmt w:val="bullet"/>
      <w:lvlText w:val="o"/>
      <w:lvlJc w:val="left"/>
      <w:pPr>
        <w:ind w:left="3600" w:hanging="360"/>
      </w:pPr>
      <w:rPr>
        <w:rFonts w:ascii="Courier New" w:hAnsi="Courier New" w:cs="Courier New" w:hint="default"/>
      </w:rPr>
    </w:lvl>
    <w:lvl w:ilvl="5" w:tplc="CEDA0A18" w:tentative="1">
      <w:start w:val="1"/>
      <w:numFmt w:val="bullet"/>
      <w:lvlText w:val=""/>
      <w:lvlJc w:val="left"/>
      <w:pPr>
        <w:ind w:left="4320" w:hanging="360"/>
      </w:pPr>
      <w:rPr>
        <w:rFonts w:ascii="Wingdings" w:hAnsi="Wingdings" w:hint="default"/>
      </w:rPr>
    </w:lvl>
    <w:lvl w:ilvl="6" w:tplc="8D2EA0A4" w:tentative="1">
      <w:start w:val="1"/>
      <w:numFmt w:val="bullet"/>
      <w:lvlText w:val=""/>
      <w:lvlJc w:val="left"/>
      <w:pPr>
        <w:ind w:left="5040" w:hanging="360"/>
      </w:pPr>
      <w:rPr>
        <w:rFonts w:ascii="Symbol" w:hAnsi="Symbol" w:hint="default"/>
      </w:rPr>
    </w:lvl>
    <w:lvl w:ilvl="7" w:tplc="24DEC5DC" w:tentative="1">
      <w:start w:val="1"/>
      <w:numFmt w:val="bullet"/>
      <w:lvlText w:val="o"/>
      <w:lvlJc w:val="left"/>
      <w:pPr>
        <w:ind w:left="5760" w:hanging="360"/>
      </w:pPr>
      <w:rPr>
        <w:rFonts w:ascii="Courier New" w:hAnsi="Courier New" w:cs="Courier New" w:hint="default"/>
      </w:rPr>
    </w:lvl>
    <w:lvl w:ilvl="8" w:tplc="1D9434F6" w:tentative="1">
      <w:start w:val="1"/>
      <w:numFmt w:val="bullet"/>
      <w:lvlText w:val=""/>
      <w:lvlJc w:val="left"/>
      <w:pPr>
        <w:ind w:left="6480" w:hanging="360"/>
      </w:pPr>
      <w:rPr>
        <w:rFonts w:ascii="Wingdings" w:hAnsi="Wingdings" w:hint="default"/>
      </w:rPr>
    </w:lvl>
  </w:abstractNum>
  <w:abstractNum w:abstractNumId="15" w15:restartNumberingAfterBreak="0">
    <w:nsid w:val="439A1AE7"/>
    <w:multiLevelType w:val="hybridMultilevel"/>
    <w:tmpl w:val="086C5B08"/>
    <w:lvl w:ilvl="0" w:tplc="992811CA">
      <w:start w:val="1"/>
      <w:numFmt w:val="bullet"/>
      <w:lvlText w:val=""/>
      <w:lvlJc w:val="left"/>
      <w:pPr>
        <w:ind w:left="720" w:hanging="360"/>
      </w:pPr>
      <w:rPr>
        <w:rFonts w:ascii="Symbol" w:hAnsi="Symbol" w:hint="default"/>
      </w:rPr>
    </w:lvl>
    <w:lvl w:ilvl="1" w:tplc="B7D01DE4" w:tentative="1">
      <w:start w:val="1"/>
      <w:numFmt w:val="bullet"/>
      <w:lvlText w:val="o"/>
      <w:lvlJc w:val="left"/>
      <w:pPr>
        <w:ind w:left="1440" w:hanging="360"/>
      </w:pPr>
      <w:rPr>
        <w:rFonts w:ascii="Courier New" w:hAnsi="Courier New" w:cs="Courier New" w:hint="default"/>
      </w:rPr>
    </w:lvl>
    <w:lvl w:ilvl="2" w:tplc="22E8840A" w:tentative="1">
      <w:start w:val="1"/>
      <w:numFmt w:val="bullet"/>
      <w:lvlText w:val=""/>
      <w:lvlJc w:val="left"/>
      <w:pPr>
        <w:ind w:left="2160" w:hanging="360"/>
      </w:pPr>
      <w:rPr>
        <w:rFonts w:ascii="Wingdings" w:hAnsi="Wingdings" w:hint="default"/>
      </w:rPr>
    </w:lvl>
    <w:lvl w:ilvl="3" w:tplc="D84A2E04" w:tentative="1">
      <w:start w:val="1"/>
      <w:numFmt w:val="bullet"/>
      <w:lvlText w:val=""/>
      <w:lvlJc w:val="left"/>
      <w:pPr>
        <w:ind w:left="2880" w:hanging="360"/>
      </w:pPr>
      <w:rPr>
        <w:rFonts w:ascii="Symbol" w:hAnsi="Symbol" w:hint="default"/>
      </w:rPr>
    </w:lvl>
    <w:lvl w:ilvl="4" w:tplc="AF4807C4" w:tentative="1">
      <w:start w:val="1"/>
      <w:numFmt w:val="bullet"/>
      <w:lvlText w:val="o"/>
      <w:lvlJc w:val="left"/>
      <w:pPr>
        <w:ind w:left="3600" w:hanging="360"/>
      </w:pPr>
      <w:rPr>
        <w:rFonts w:ascii="Courier New" w:hAnsi="Courier New" w:cs="Courier New" w:hint="default"/>
      </w:rPr>
    </w:lvl>
    <w:lvl w:ilvl="5" w:tplc="42E6DCB2" w:tentative="1">
      <w:start w:val="1"/>
      <w:numFmt w:val="bullet"/>
      <w:lvlText w:val=""/>
      <w:lvlJc w:val="left"/>
      <w:pPr>
        <w:ind w:left="4320" w:hanging="360"/>
      </w:pPr>
      <w:rPr>
        <w:rFonts w:ascii="Wingdings" w:hAnsi="Wingdings" w:hint="default"/>
      </w:rPr>
    </w:lvl>
    <w:lvl w:ilvl="6" w:tplc="3EF4810E" w:tentative="1">
      <w:start w:val="1"/>
      <w:numFmt w:val="bullet"/>
      <w:lvlText w:val=""/>
      <w:lvlJc w:val="left"/>
      <w:pPr>
        <w:ind w:left="5040" w:hanging="360"/>
      </w:pPr>
      <w:rPr>
        <w:rFonts w:ascii="Symbol" w:hAnsi="Symbol" w:hint="default"/>
      </w:rPr>
    </w:lvl>
    <w:lvl w:ilvl="7" w:tplc="5D8EA5A0" w:tentative="1">
      <w:start w:val="1"/>
      <w:numFmt w:val="bullet"/>
      <w:lvlText w:val="o"/>
      <w:lvlJc w:val="left"/>
      <w:pPr>
        <w:ind w:left="5760" w:hanging="360"/>
      </w:pPr>
      <w:rPr>
        <w:rFonts w:ascii="Courier New" w:hAnsi="Courier New" w:cs="Courier New" w:hint="default"/>
      </w:rPr>
    </w:lvl>
    <w:lvl w:ilvl="8" w:tplc="9730AF06" w:tentative="1">
      <w:start w:val="1"/>
      <w:numFmt w:val="bullet"/>
      <w:lvlText w:val=""/>
      <w:lvlJc w:val="left"/>
      <w:pPr>
        <w:ind w:left="6480" w:hanging="360"/>
      </w:pPr>
      <w:rPr>
        <w:rFonts w:ascii="Wingdings" w:hAnsi="Wingdings" w:hint="default"/>
      </w:rPr>
    </w:lvl>
  </w:abstractNum>
  <w:abstractNum w:abstractNumId="16" w15:restartNumberingAfterBreak="0">
    <w:nsid w:val="446A4AD3"/>
    <w:multiLevelType w:val="multilevel"/>
    <w:tmpl w:val="8F94A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511EB"/>
    <w:multiLevelType w:val="hybridMultilevel"/>
    <w:tmpl w:val="49DE1900"/>
    <w:lvl w:ilvl="0" w:tplc="41C4544A">
      <w:start w:val="1"/>
      <w:numFmt w:val="bullet"/>
      <w:lvlText w:val=""/>
      <w:lvlJc w:val="left"/>
      <w:pPr>
        <w:ind w:left="1080" w:hanging="360"/>
      </w:pPr>
      <w:rPr>
        <w:rFonts w:ascii="Symbol" w:hAnsi="Symbol" w:hint="default"/>
      </w:rPr>
    </w:lvl>
    <w:lvl w:ilvl="1" w:tplc="095A1CA0" w:tentative="1">
      <w:start w:val="1"/>
      <w:numFmt w:val="bullet"/>
      <w:lvlText w:val="o"/>
      <w:lvlJc w:val="left"/>
      <w:pPr>
        <w:ind w:left="1800" w:hanging="360"/>
      </w:pPr>
      <w:rPr>
        <w:rFonts w:ascii="Courier New" w:hAnsi="Courier New" w:cs="Courier New" w:hint="default"/>
      </w:rPr>
    </w:lvl>
    <w:lvl w:ilvl="2" w:tplc="8A7E983E" w:tentative="1">
      <w:start w:val="1"/>
      <w:numFmt w:val="bullet"/>
      <w:lvlText w:val=""/>
      <w:lvlJc w:val="left"/>
      <w:pPr>
        <w:ind w:left="2520" w:hanging="360"/>
      </w:pPr>
      <w:rPr>
        <w:rFonts w:ascii="Wingdings" w:hAnsi="Wingdings" w:hint="default"/>
      </w:rPr>
    </w:lvl>
    <w:lvl w:ilvl="3" w:tplc="F3BE7B42" w:tentative="1">
      <w:start w:val="1"/>
      <w:numFmt w:val="bullet"/>
      <w:lvlText w:val=""/>
      <w:lvlJc w:val="left"/>
      <w:pPr>
        <w:ind w:left="3240" w:hanging="360"/>
      </w:pPr>
      <w:rPr>
        <w:rFonts w:ascii="Symbol" w:hAnsi="Symbol" w:hint="default"/>
      </w:rPr>
    </w:lvl>
    <w:lvl w:ilvl="4" w:tplc="336E886C" w:tentative="1">
      <w:start w:val="1"/>
      <w:numFmt w:val="bullet"/>
      <w:lvlText w:val="o"/>
      <w:lvlJc w:val="left"/>
      <w:pPr>
        <w:ind w:left="3960" w:hanging="360"/>
      </w:pPr>
      <w:rPr>
        <w:rFonts w:ascii="Courier New" w:hAnsi="Courier New" w:cs="Courier New" w:hint="default"/>
      </w:rPr>
    </w:lvl>
    <w:lvl w:ilvl="5" w:tplc="0ECE32F8" w:tentative="1">
      <w:start w:val="1"/>
      <w:numFmt w:val="bullet"/>
      <w:lvlText w:val=""/>
      <w:lvlJc w:val="left"/>
      <w:pPr>
        <w:ind w:left="4680" w:hanging="360"/>
      </w:pPr>
      <w:rPr>
        <w:rFonts w:ascii="Wingdings" w:hAnsi="Wingdings" w:hint="default"/>
      </w:rPr>
    </w:lvl>
    <w:lvl w:ilvl="6" w:tplc="A462CC34" w:tentative="1">
      <w:start w:val="1"/>
      <w:numFmt w:val="bullet"/>
      <w:lvlText w:val=""/>
      <w:lvlJc w:val="left"/>
      <w:pPr>
        <w:ind w:left="5400" w:hanging="360"/>
      </w:pPr>
      <w:rPr>
        <w:rFonts w:ascii="Symbol" w:hAnsi="Symbol" w:hint="default"/>
      </w:rPr>
    </w:lvl>
    <w:lvl w:ilvl="7" w:tplc="A0FC7A28" w:tentative="1">
      <w:start w:val="1"/>
      <w:numFmt w:val="bullet"/>
      <w:lvlText w:val="o"/>
      <w:lvlJc w:val="left"/>
      <w:pPr>
        <w:ind w:left="6120" w:hanging="360"/>
      </w:pPr>
      <w:rPr>
        <w:rFonts w:ascii="Courier New" w:hAnsi="Courier New" w:cs="Courier New" w:hint="default"/>
      </w:rPr>
    </w:lvl>
    <w:lvl w:ilvl="8" w:tplc="D36A35C8" w:tentative="1">
      <w:start w:val="1"/>
      <w:numFmt w:val="bullet"/>
      <w:lvlText w:val=""/>
      <w:lvlJc w:val="left"/>
      <w:pPr>
        <w:ind w:left="6840" w:hanging="360"/>
      </w:pPr>
      <w:rPr>
        <w:rFonts w:ascii="Wingdings" w:hAnsi="Wingdings" w:hint="default"/>
      </w:rPr>
    </w:lvl>
  </w:abstractNum>
  <w:abstractNum w:abstractNumId="18" w15:restartNumberingAfterBreak="0">
    <w:nsid w:val="489A01B5"/>
    <w:multiLevelType w:val="hybridMultilevel"/>
    <w:tmpl w:val="4008D5EE"/>
    <w:lvl w:ilvl="0" w:tplc="4964F75A">
      <w:start w:val="1"/>
      <w:numFmt w:val="bullet"/>
      <w:lvlText w:val=""/>
      <w:lvlJc w:val="left"/>
      <w:pPr>
        <w:ind w:left="720" w:hanging="360"/>
      </w:pPr>
      <w:rPr>
        <w:rFonts w:ascii="Symbol" w:hAnsi="Symbol" w:hint="default"/>
      </w:rPr>
    </w:lvl>
    <w:lvl w:ilvl="1" w:tplc="F9E8F50A" w:tentative="1">
      <w:start w:val="1"/>
      <w:numFmt w:val="bullet"/>
      <w:lvlText w:val="o"/>
      <w:lvlJc w:val="left"/>
      <w:pPr>
        <w:ind w:left="1440" w:hanging="360"/>
      </w:pPr>
      <w:rPr>
        <w:rFonts w:ascii="Courier New" w:hAnsi="Courier New" w:cs="Courier New" w:hint="default"/>
      </w:rPr>
    </w:lvl>
    <w:lvl w:ilvl="2" w:tplc="0B9EFF52" w:tentative="1">
      <w:start w:val="1"/>
      <w:numFmt w:val="bullet"/>
      <w:lvlText w:val=""/>
      <w:lvlJc w:val="left"/>
      <w:pPr>
        <w:ind w:left="2160" w:hanging="360"/>
      </w:pPr>
      <w:rPr>
        <w:rFonts w:ascii="Wingdings" w:hAnsi="Wingdings" w:hint="default"/>
      </w:rPr>
    </w:lvl>
    <w:lvl w:ilvl="3" w:tplc="97EEF7A4" w:tentative="1">
      <w:start w:val="1"/>
      <w:numFmt w:val="bullet"/>
      <w:lvlText w:val=""/>
      <w:lvlJc w:val="left"/>
      <w:pPr>
        <w:ind w:left="2880" w:hanging="360"/>
      </w:pPr>
      <w:rPr>
        <w:rFonts w:ascii="Symbol" w:hAnsi="Symbol" w:hint="default"/>
      </w:rPr>
    </w:lvl>
    <w:lvl w:ilvl="4" w:tplc="0B04DCE4" w:tentative="1">
      <w:start w:val="1"/>
      <w:numFmt w:val="bullet"/>
      <w:lvlText w:val="o"/>
      <w:lvlJc w:val="left"/>
      <w:pPr>
        <w:ind w:left="3600" w:hanging="360"/>
      </w:pPr>
      <w:rPr>
        <w:rFonts w:ascii="Courier New" w:hAnsi="Courier New" w:cs="Courier New" w:hint="default"/>
      </w:rPr>
    </w:lvl>
    <w:lvl w:ilvl="5" w:tplc="94003872" w:tentative="1">
      <w:start w:val="1"/>
      <w:numFmt w:val="bullet"/>
      <w:lvlText w:val=""/>
      <w:lvlJc w:val="left"/>
      <w:pPr>
        <w:ind w:left="4320" w:hanging="360"/>
      </w:pPr>
      <w:rPr>
        <w:rFonts w:ascii="Wingdings" w:hAnsi="Wingdings" w:hint="default"/>
      </w:rPr>
    </w:lvl>
    <w:lvl w:ilvl="6" w:tplc="C68A15EC" w:tentative="1">
      <w:start w:val="1"/>
      <w:numFmt w:val="bullet"/>
      <w:lvlText w:val=""/>
      <w:lvlJc w:val="left"/>
      <w:pPr>
        <w:ind w:left="5040" w:hanging="360"/>
      </w:pPr>
      <w:rPr>
        <w:rFonts w:ascii="Symbol" w:hAnsi="Symbol" w:hint="default"/>
      </w:rPr>
    </w:lvl>
    <w:lvl w:ilvl="7" w:tplc="6130E51A" w:tentative="1">
      <w:start w:val="1"/>
      <w:numFmt w:val="bullet"/>
      <w:lvlText w:val="o"/>
      <w:lvlJc w:val="left"/>
      <w:pPr>
        <w:ind w:left="5760" w:hanging="360"/>
      </w:pPr>
      <w:rPr>
        <w:rFonts w:ascii="Courier New" w:hAnsi="Courier New" w:cs="Courier New" w:hint="default"/>
      </w:rPr>
    </w:lvl>
    <w:lvl w:ilvl="8" w:tplc="C43831D4" w:tentative="1">
      <w:start w:val="1"/>
      <w:numFmt w:val="bullet"/>
      <w:lvlText w:val=""/>
      <w:lvlJc w:val="left"/>
      <w:pPr>
        <w:ind w:left="6480" w:hanging="360"/>
      </w:pPr>
      <w:rPr>
        <w:rFonts w:ascii="Wingdings" w:hAnsi="Wingdings" w:hint="default"/>
      </w:rPr>
    </w:lvl>
  </w:abstractNum>
  <w:abstractNum w:abstractNumId="19" w15:restartNumberingAfterBreak="0">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2B12CC"/>
    <w:multiLevelType w:val="hybridMultilevel"/>
    <w:tmpl w:val="BE6CB4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9625A3"/>
    <w:multiLevelType w:val="hybridMultilevel"/>
    <w:tmpl w:val="B404A028"/>
    <w:lvl w:ilvl="0" w:tplc="9BD48F92">
      <w:start w:val="1"/>
      <w:numFmt w:val="decimal"/>
      <w:lvlText w:val="%1."/>
      <w:lvlJc w:val="left"/>
      <w:pPr>
        <w:ind w:left="786" w:hanging="360"/>
      </w:pPr>
      <w:rPr>
        <w:rFonts w:hint="default"/>
      </w:rPr>
    </w:lvl>
    <w:lvl w:ilvl="1" w:tplc="5C4C2F3C" w:tentative="1">
      <w:start w:val="1"/>
      <w:numFmt w:val="lowerLetter"/>
      <w:lvlText w:val="%2."/>
      <w:lvlJc w:val="left"/>
      <w:pPr>
        <w:ind w:left="1440" w:hanging="360"/>
      </w:pPr>
    </w:lvl>
    <w:lvl w:ilvl="2" w:tplc="9C34DF24" w:tentative="1">
      <w:start w:val="1"/>
      <w:numFmt w:val="lowerRoman"/>
      <w:lvlText w:val="%3."/>
      <w:lvlJc w:val="right"/>
      <w:pPr>
        <w:ind w:left="2160" w:hanging="180"/>
      </w:pPr>
    </w:lvl>
    <w:lvl w:ilvl="3" w:tplc="F1EE0262" w:tentative="1">
      <w:start w:val="1"/>
      <w:numFmt w:val="decimal"/>
      <w:lvlText w:val="%4."/>
      <w:lvlJc w:val="left"/>
      <w:pPr>
        <w:ind w:left="2880" w:hanging="360"/>
      </w:pPr>
    </w:lvl>
    <w:lvl w:ilvl="4" w:tplc="A7085DEC" w:tentative="1">
      <w:start w:val="1"/>
      <w:numFmt w:val="lowerLetter"/>
      <w:lvlText w:val="%5."/>
      <w:lvlJc w:val="left"/>
      <w:pPr>
        <w:ind w:left="3600" w:hanging="360"/>
      </w:pPr>
    </w:lvl>
    <w:lvl w:ilvl="5" w:tplc="809EC9FC" w:tentative="1">
      <w:start w:val="1"/>
      <w:numFmt w:val="lowerRoman"/>
      <w:lvlText w:val="%6."/>
      <w:lvlJc w:val="right"/>
      <w:pPr>
        <w:ind w:left="4320" w:hanging="180"/>
      </w:pPr>
    </w:lvl>
    <w:lvl w:ilvl="6" w:tplc="680AC1A8" w:tentative="1">
      <w:start w:val="1"/>
      <w:numFmt w:val="decimal"/>
      <w:lvlText w:val="%7."/>
      <w:lvlJc w:val="left"/>
      <w:pPr>
        <w:ind w:left="5040" w:hanging="360"/>
      </w:pPr>
    </w:lvl>
    <w:lvl w:ilvl="7" w:tplc="E28E1216" w:tentative="1">
      <w:start w:val="1"/>
      <w:numFmt w:val="lowerLetter"/>
      <w:lvlText w:val="%8."/>
      <w:lvlJc w:val="left"/>
      <w:pPr>
        <w:ind w:left="5760" w:hanging="360"/>
      </w:pPr>
    </w:lvl>
    <w:lvl w:ilvl="8" w:tplc="2A6E1B58" w:tentative="1">
      <w:start w:val="1"/>
      <w:numFmt w:val="lowerRoman"/>
      <w:lvlText w:val="%9."/>
      <w:lvlJc w:val="right"/>
      <w:pPr>
        <w:ind w:left="6480" w:hanging="180"/>
      </w:pPr>
    </w:lvl>
  </w:abstractNum>
  <w:abstractNum w:abstractNumId="22" w15:restartNumberingAfterBreak="0">
    <w:nsid w:val="57B57637"/>
    <w:multiLevelType w:val="multilevel"/>
    <w:tmpl w:val="D34ED0B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57EE0BCB"/>
    <w:multiLevelType w:val="multilevel"/>
    <w:tmpl w:val="40902894"/>
    <w:lvl w:ilvl="0">
      <w:start w:val="1"/>
      <w:numFmt w:val="decimal"/>
      <w:lvlText w:val="%1."/>
      <w:lvlJc w:val="left"/>
      <w:pPr>
        <w:ind w:left="1548" w:hanging="874"/>
      </w:pPr>
      <w:rPr>
        <w:rFonts w:hint="default"/>
        <w:b/>
        <w:bCs/>
        <w:spacing w:val="-1"/>
        <w:w w:val="99"/>
        <w:lang w:val="en-GB" w:eastAsia="en-GB" w:bidi="en-GB"/>
      </w:rPr>
    </w:lvl>
    <w:lvl w:ilvl="1">
      <w:start w:val="1"/>
      <w:numFmt w:val="decimal"/>
      <w:lvlText w:val="%1.%2"/>
      <w:lvlJc w:val="left"/>
      <w:pPr>
        <w:ind w:left="1419" w:hanging="852"/>
      </w:pPr>
      <w:rPr>
        <w:spacing w:val="-33"/>
        <w:w w:val="99"/>
        <w:sz w:val="24"/>
        <w:szCs w:val="24"/>
        <w:lang w:val="en-GB" w:eastAsia="en-GB" w:bidi="en-GB"/>
      </w:rPr>
    </w:lvl>
    <w:lvl w:ilvl="2">
      <w:start w:val="1"/>
      <w:numFmt w:val="upperRoman"/>
      <w:lvlText w:val="%3."/>
      <w:lvlJc w:val="left"/>
      <w:pPr>
        <w:ind w:left="2268" w:hanging="495"/>
        <w:jc w:val="right"/>
      </w:pPr>
      <w:rPr>
        <w:rFonts w:ascii="Arial" w:eastAsia="Arial" w:hAnsi="Arial" w:cs="Arial" w:hint="default"/>
        <w:w w:val="100"/>
        <w:sz w:val="24"/>
        <w:szCs w:val="24"/>
        <w:lang w:val="en-GB" w:eastAsia="en-GB" w:bidi="en-GB"/>
      </w:rPr>
    </w:lvl>
    <w:lvl w:ilvl="3">
      <w:numFmt w:val="bullet"/>
      <w:lvlText w:val="•"/>
      <w:lvlJc w:val="left"/>
      <w:pPr>
        <w:ind w:left="3295" w:hanging="495"/>
      </w:pPr>
      <w:rPr>
        <w:rFonts w:hint="default"/>
        <w:lang w:val="en-GB" w:eastAsia="en-GB" w:bidi="en-GB"/>
      </w:rPr>
    </w:lvl>
    <w:lvl w:ilvl="4">
      <w:numFmt w:val="bullet"/>
      <w:lvlText w:val="•"/>
      <w:lvlJc w:val="left"/>
      <w:pPr>
        <w:ind w:left="4331" w:hanging="495"/>
      </w:pPr>
      <w:rPr>
        <w:rFonts w:hint="default"/>
        <w:lang w:val="en-GB" w:eastAsia="en-GB" w:bidi="en-GB"/>
      </w:rPr>
    </w:lvl>
    <w:lvl w:ilvl="5">
      <w:numFmt w:val="bullet"/>
      <w:lvlText w:val="•"/>
      <w:lvlJc w:val="left"/>
      <w:pPr>
        <w:ind w:left="5367" w:hanging="495"/>
      </w:pPr>
      <w:rPr>
        <w:rFonts w:hint="default"/>
        <w:lang w:val="en-GB" w:eastAsia="en-GB" w:bidi="en-GB"/>
      </w:rPr>
    </w:lvl>
    <w:lvl w:ilvl="6">
      <w:numFmt w:val="bullet"/>
      <w:lvlText w:val="•"/>
      <w:lvlJc w:val="left"/>
      <w:pPr>
        <w:ind w:left="6403" w:hanging="495"/>
      </w:pPr>
      <w:rPr>
        <w:rFonts w:hint="default"/>
        <w:lang w:val="en-GB" w:eastAsia="en-GB" w:bidi="en-GB"/>
      </w:rPr>
    </w:lvl>
    <w:lvl w:ilvl="7">
      <w:numFmt w:val="bullet"/>
      <w:lvlText w:val="•"/>
      <w:lvlJc w:val="left"/>
      <w:pPr>
        <w:ind w:left="7439" w:hanging="495"/>
      </w:pPr>
      <w:rPr>
        <w:rFonts w:hint="default"/>
        <w:lang w:val="en-GB" w:eastAsia="en-GB" w:bidi="en-GB"/>
      </w:rPr>
    </w:lvl>
    <w:lvl w:ilvl="8">
      <w:numFmt w:val="bullet"/>
      <w:lvlText w:val="•"/>
      <w:lvlJc w:val="left"/>
      <w:pPr>
        <w:ind w:left="8474" w:hanging="495"/>
      </w:pPr>
      <w:rPr>
        <w:rFonts w:hint="default"/>
        <w:lang w:val="en-GB" w:eastAsia="en-GB" w:bidi="en-GB"/>
      </w:rPr>
    </w:lvl>
  </w:abstractNum>
  <w:abstractNum w:abstractNumId="24" w15:restartNumberingAfterBreak="0">
    <w:nsid w:val="6786529E"/>
    <w:multiLevelType w:val="hybridMultilevel"/>
    <w:tmpl w:val="8F30C674"/>
    <w:lvl w:ilvl="0" w:tplc="1C0C3CAE">
      <w:start w:val="1"/>
      <w:numFmt w:val="bullet"/>
      <w:lvlText w:val=""/>
      <w:lvlJc w:val="left"/>
      <w:pPr>
        <w:ind w:left="720" w:hanging="360"/>
      </w:pPr>
      <w:rPr>
        <w:rFonts w:ascii="Symbol" w:hAnsi="Symbol" w:hint="default"/>
      </w:rPr>
    </w:lvl>
    <w:lvl w:ilvl="1" w:tplc="53EAC5CC" w:tentative="1">
      <w:start w:val="1"/>
      <w:numFmt w:val="bullet"/>
      <w:lvlText w:val="o"/>
      <w:lvlJc w:val="left"/>
      <w:pPr>
        <w:ind w:left="1440" w:hanging="360"/>
      </w:pPr>
      <w:rPr>
        <w:rFonts w:ascii="Courier New" w:hAnsi="Courier New" w:cs="Courier New" w:hint="default"/>
      </w:rPr>
    </w:lvl>
    <w:lvl w:ilvl="2" w:tplc="AEBAA168" w:tentative="1">
      <w:start w:val="1"/>
      <w:numFmt w:val="bullet"/>
      <w:lvlText w:val=""/>
      <w:lvlJc w:val="left"/>
      <w:pPr>
        <w:ind w:left="2160" w:hanging="360"/>
      </w:pPr>
      <w:rPr>
        <w:rFonts w:ascii="Wingdings" w:hAnsi="Wingdings" w:hint="default"/>
      </w:rPr>
    </w:lvl>
    <w:lvl w:ilvl="3" w:tplc="C0E49AF2" w:tentative="1">
      <w:start w:val="1"/>
      <w:numFmt w:val="bullet"/>
      <w:lvlText w:val=""/>
      <w:lvlJc w:val="left"/>
      <w:pPr>
        <w:ind w:left="2880" w:hanging="360"/>
      </w:pPr>
      <w:rPr>
        <w:rFonts w:ascii="Symbol" w:hAnsi="Symbol" w:hint="default"/>
      </w:rPr>
    </w:lvl>
    <w:lvl w:ilvl="4" w:tplc="CA4A1A2C" w:tentative="1">
      <w:start w:val="1"/>
      <w:numFmt w:val="bullet"/>
      <w:lvlText w:val="o"/>
      <w:lvlJc w:val="left"/>
      <w:pPr>
        <w:ind w:left="3600" w:hanging="360"/>
      </w:pPr>
      <w:rPr>
        <w:rFonts w:ascii="Courier New" w:hAnsi="Courier New" w:cs="Courier New" w:hint="default"/>
      </w:rPr>
    </w:lvl>
    <w:lvl w:ilvl="5" w:tplc="78F00C7E" w:tentative="1">
      <w:start w:val="1"/>
      <w:numFmt w:val="bullet"/>
      <w:lvlText w:val=""/>
      <w:lvlJc w:val="left"/>
      <w:pPr>
        <w:ind w:left="4320" w:hanging="360"/>
      </w:pPr>
      <w:rPr>
        <w:rFonts w:ascii="Wingdings" w:hAnsi="Wingdings" w:hint="default"/>
      </w:rPr>
    </w:lvl>
    <w:lvl w:ilvl="6" w:tplc="B2A29878" w:tentative="1">
      <w:start w:val="1"/>
      <w:numFmt w:val="bullet"/>
      <w:lvlText w:val=""/>
      <w:lvlJc w:val="left"/>
      <w:pPr>
        <w:ind w:left="5040" w:hanging="360"/>
      </w:pPr>
      <w:rPr>
        <w:rFonts w:ascii="Symbol" w:hAnsi="Symbol" w:hint="default"/>
      </w:rPr>
    </w:lvl>
    <w:lvl w:ilvl="7" w:tplc="A44A473A" w:tentative="1">
      <w:start w:val="1"/>
      <w:numFmt w:val="bullet"/>
      <w:lvlText w:val="o"/>
      <w:lvlJc w:val="left"/>
      <w:pPr>
        <w:ind w:left="5760" w:hanging="360"/>
      </w:pPr>
      <w:rPr>
        <w:rFonts w:ascii="Courier New" w:hAnsi="Courier New" w:cs="Courier New" w:hint="default"/>
      </w:rPr>
    </w:lvl>
    <w:lvl w:ilvl="8" w:tplc="E9A05C9A" w:tentative="1">
      <w:start w:val="1"/>
      <w:numFmt w:val="bullet"/>
      <w:lvlText w:val=""/>
      <w:lvlJc w:val="left"/>
      <w:pPr>
        <w:ind w:left="6480" w:hanging="360"/>
      </w:pPr>
      <w:rPr>
        <w:rFonts w:ascii="Wingdings" w:hAnsi="Wingdings" w:hint="default"/>
      </w:rPr>
    </w:lvl>
  </w:abstractNum>
  <w:abstractNum w:abstractNumId="25" w15:restartNumberingAfterBreak="0">
    <w:nsid w:val="684F694C"/>
    <w:multiLevelType w:val="hybridMultilevel"/>
    <w:tmpl w:val="939AF01E"/>
    <w:lvl w:ilvl="0" w:tplc="2982CC54">
      <w:start w:val="3"/>
      <w:numFmt w:val="lowerLetter"/>
      <w:lvlText w:val="%1)"/>
      <w:lvlJc w:val="left"/>
      <w:pPr>
        <w:ind w:left="720" w:hanging="360"/>
      </w:pPr>
      <w:rPr>
        <w:rFonts w:cs="Times New Roman" w:hint="default"/>
      </w:rPr>
    </w:lvl>
    <w:lvl w:ilvl="1" w:tplc="65EC853A" w:tentative="1">
      <w:start w:val="1"/>
      <w:numFmt w:val="lowerLetter"/>
      <w:lvlText w:val="%2."/>
      <w:lvlJc w:val="left"/>
      <w:pPr>
        <w:ind w:left="1440" w:hanging="360"/>
      </w:pPr>
      <w:rPr>
        <w:rFonts w:cs="Times New Roman"/>
      </w:rPr>
    </w:lvl>
    <w:lvl w:ilvl="2" w:tplc="9258ADE6" w:tentative="1">
      <w:start w:val="1"/>
      <w:numFmt w:val="lowerRoman"/>
      <w:lvlText w:val="%3."/>
      <w:lvlJc w:val="right"/>
      <w:pPr>
        <w:ind w:left="2160" w:hanging="180"/>
      </w:pPr>
      <w:rPr>
        <w:rFonts w:cs="Times New Roman"/>
      </w:rPr>
    </w:lvl>
    <w:lvl w:ilvl="3" w:tplc="C2CCAA62" w:tentative="1">
      <w:start w:val="1"/>
      <w:numFmt w:val="decimal"/>
      <w:lvlText w:val="%4."/>
      <w:lvlJc w:val="left"/>
      <w:pPr>
        <w:ind w:left="2880" w:hanging="360"/>
      </w:pPr>
      <w:rPr>
        <w:rFonts w:cs="Times New Roman"/>
      </w:rPr>
    </w:lvl>
    <w:lvl w:ilvl="4" w:tplc="0C02F698" w:tentative="1">
      <w:start w:val="1"/>
      <w:numFmt w:val="lowerLetter"/>
      <w:lvlText w:val="%5."/>
      <w:lvlJc w:val="left"/>
      <w:pPr>
        <w:ind w:left="3600" w:hanging="360"/>
      </w:pPr>
      <w:rPr>
        <w:rFonts w:cs="Times New Roman"/>
      </w:rPr>
    </w:lvl>
    <w:lvl w:ilvl="5" w:tplc="D040DA5E" w:tentative="1">
      <w:start w:val="1"/>
      <w:numFmt w:val="lowerRoman"/>
      <w:lvlText w:val="%6."/>
      <w:lvlJc w:val="right"/>
      <w:pPr>
        <w:ind w:left="4320" w:hanging="180"/>
      </w:pPr>
      <w:rPr>
        <w:rFonts w:cs="Times New Roman"/>
      </w:rPr>
    </w:lvl>
    <w:lvl w:ilvl="6" w:tplc="D10412C6" w:tentative="1">
      <w:start w:val="1"/>
      <w:numFmt w:val="decimal"/>
      <w:lvlText w:val="%7."/>
      <w:lvlJc w:val="left"/>
      <w:pPr>
        <w:ind w:left="5040" w:hanging="360"/>
      </w:pPr>
      <w:rPr>
        <w:rFonts w:cs="Times New Roman"/>
      </w:rPr>
    </w:lvl>
    <w:lvl w:ilvl="7" w:tplc="AD88E7CC" w:tentative="1">
      <w:start w:val="1"/>
      <w:numFmt w:val="lowerLetter"/>
      <w:lvlText w:val="%8."/>
      <w:lvlJc w:val="left"/>
      <w:pPr>
        <w:ind w:left="5760" w:hanging="360"/>
      </w:pPr>
      <w:rPr>
        <w:rFonts w:cs="Times New Roman"/>
      </w:rPr>
    </w:lvl>
    <w:lvl w:ilvl="8" w:tplc="17AEC17A" w:tentative="1">
      <w:start w:val="1"/>
      <w:numFmt w:val="lowerRoman"/>
      <w:lvlText w:val="%9."/>
      <w:lvlJc w:val="right"/>
      <w:pPr>
        <w:ind w:left="6480" w:hanging="180"/>
      </w:pPr>
      <w:rPr>
        <w:rFonts w:cs="Times New Roman"/>
      </w:rPr>
    </w:lvl>
  </w:abstractNum>
  <w:abstractNum w:abstractNumId="26" w15:restartNumberingAfterBreak="0">
    <w:nsid w:val="697C1795"/>
    <w:multiLevelType w:val="hybridMultilevel"/>
    <w:tmpl w:val="065660EC"/>
    <w:lvl w:ilvl="0" w:tplc="5B88CECC">
      <w:start w:val="1"/>
      <w:numFmt w:val="lowerLetter"/>
      <w:lvlText w:val="%1)"/>
      <w:lvlJc w:val="left"/>
      <w:pPr>
        <w:ind w:left="360" w:hanging="360"/>
      </w:pPr>
      <w:rPr>
        <w:rFonts w:hint="default"/>
        <w:b/>
        <w:color w:val="auto"/>
      </w:rPr>
    </w:lvl>
    <w:lvl w:ilvl="1" w:tplc="EB106852" w:tentative="1">
      <w:start w:val="1"/>
      <w:numFmt w:val="lowerLetter"/>
      <w:lvlText w:val="%2."/>
      <w:lvlJc w:val="left"/>
      <w:pPr>
        <w:ind w:left="1440" w:hanging="360"/>
      </w:pPr>
    </w:lvl>
    <w:lvl w:ilvl="2" w:tplc="7A94F9B6" w:tentative="1">
      <w:start w:val="1"/>
      <w:numFmt w:val="lowerRoman"/>
      <w:lvlText w:val="%3."/>
      <w:lvlJc w:val="right"/>
      <w:pPr>
        <w:ind w:left="2160" w:hanging="180"/>
      </w:pPr>
    </w:lvl>
    <w:lvl w:ilvl="3" w:tplc="6A5A6BFE" w:tentative="1">
      <w:start w:val="1"/>
      <w:numFmt w:val="decimal"/>
      <w:lvlText w:val="%4."/>
      <w:lvlJc w:val="left"/>
      <w:pPr>
        <w:ind w:left="2880" w:hanging="360"/>
      </w:pPr>
    </w:lvl>
    <w:lvl w:ilvl="4" w:tplc="8A2E97F8" w:tentative="1">
      <w:start w:val="1"/>
      <w:numFmt w:val="lowerLetter"/>
      <w:lvlText w:val="%5."/>
      <w:lvlJc w:val="left"/>
      <w:pPr>
        <w:ind w:left="3600" w:hanging="360"/>
      </w:pPr>
    </w:lvl>
    <w:lvl w:ilvl="5" w:tplc="6E9023AE" w:tentative="1">
      <w:start w:val="1"/>
      <w:numFmt w:val="lowerRoman"/>
      <w:lvlText w:val="%6."/>
      <w:lvlJc w:val="right"/>
      <w:pPr>
        <w:ind w:left="4320" w:hanging="180"/>
      </w:pPr>
    </w:lvl>
    <w:lvl w:ilvl="6" w:tplc="1A0E10C2" w:tentative="1">
      <w:start w:val="1"/>
      <w:numFmt w:val="decimal"/>
      <w:lvlText w:val="%7."/>
      <w:lvlJc w:val="left"/>
      <w:pPr>
        <w:ind w:left="5040" w:hanging="360"/>
      </w:pPr>
    </w:lvl>
    <w:lvl w:ilvl="7" w:tplc="556EF18A" w:tentative="1">
      <w:start w:val="1"/>
      <w:numFmt w:val="lowerLetter"/>
      <w:lvlText w:val="%8."/>
      <w:lvlJc w:val="left"/>
      <w:pPr>
        <w:ind w:left="5760" w:hanging="360"/>
      </w:pPr>
    </w:lvl>
    <w:lvl w:ilvl="8" w:tplc="EAD21D0C" w:tentative="1">
      <w:start w:val="1"/>
      <w:numFmt w:val="lowerRoman"/>
      <w:lvlText w:val="%9."/>
      <w:lvlJc w:val="right"/>
      <w:pPr>
        <w:ind w:left="6480" w:hanging="180"/>
      </w:pPr>
    </w:lvl>
  </w:abstractNum>
  <w:abstractNum w:abstractNumId="27" w15:restartNumberingAfterBreak="0">
    <w:nsid w:val="6E684A84"/>
    <w:multiLevelType w:val="hybridMultilevel"/>
    <w:tmpl w:val="C7EC4894"/>
    <w:lvl w:ilvl="0" w:tplc="3A6814F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909A4"/>
    <w:multiLevelType w:val="hybridMultilevel"/>
    <w:tmpl w:val="F670AD30"/>
    <w:lvl w:ilvl="0" w:tplc="41CEF468">
      <w:start w:val="1"/>
      <w:numFmt w:val="bullet"/>
      <w:lvlText w:val=""/>
      <w:lvlJc w:val="left"/>
      <w:pPr>
        <w:ind w:left="360" w:hanging="360"/>
      </w:pPr>
      <w:rPr>
        <w:rFonts w:ascii="Symbol" w:hAnsi="Symbol" w:hint="default"/>
      </w:rPr>
    </w:lvl>
    <w:lvl w:ilvl="1" w:tplc="C158ED7A" w:tentative="1">
      <w:start w:val="1"/>
      <w:numFmt w:val="bullet"/>
      <w:lvlText w:val="o"/>
      <w:lvlJc w:val="left"/>
      <w:pPr>
        <w:ind w:left="1440" w:hanging="360"/>
      </w:pPr>
      <w:rPr>
        <w:rFonts w:ascii="Courier New" w:hAnsi="Courier New" w:cs="Courier New" w:hint="default"/>
      </w:rPr>
    </w:lvl>
    <w:lvl w:ilvl="2" w:tplc="1EECA0D8" w:tentative="1">
      <w:start w:val="1"/>
      <w:numFmt w:val="bullet"/>
      <w:lvlText w:val=""/>
      <w:lvlJc w:val="left"/>
      <w:pPr>
        <w:ind w:left="2160" w:hanging="360"/>
      </w:pPr>
      <w:rPr>
        <w:rFonts w:ascii="Wingdings" w:hAnsi="Wingdings" w:hint="default"/>
      </w:rPr>
    </w:lvl>
    <w:lvl w:ilvl="3" w:tplc="EA205178" w:tentative="1">
      <w:start w:val="1"/>
      <w:numFmt w:val="bullet"/>
      <w:lvlText w:val=""/>
      <w:lvlJc w:val="left"/>
      <w:pPr>
        <w:ind w:left="2880" w:hanging="360"/>
      </w:pPr>
      <w:rPr>
        <w:rFonts w:ascii="Symbol" w:hAnsi="Symbol" w:hint="default"/>
      </w:rPr>
    </w:lvl>
    <w:lvl w:ilvl="4" w:tplc="01BE1FBC" w:tentative="1">
      <w:start w:val="1"/>
      <w:numFmt w:val="bullet"/>
      <w:lvlText w:val="o"/>
      <w:lvlJc w:val="left"/>
      <w:pPr>
        <w:ind w:left="3600" w:hanging="360"/>
      </w:pPr>
      <w:rPr>
        <w:rFonts w:ascii="Courier New" w:hAnsi="Courier New" w:cs="Courier New" w:hint="default"/>
      </w:rPr>
    </w:lvl>
    <w:lvl w:ilvl="5" w:tplc="DF2AF2D4" w:tentative="1">
      <w:start w:val="1"/>
      <w:numFmt w:val="bullet"/>
      <w:lvlText w:val=""/>
      <w:lvlJc w:val="left"/>
      <w:pPr>
        <w:ind w:left="4320" w:hanging="360"/>
      </w:pPr>
      <w:rPr>
        <w:rFonts w:ascii="Wingdings" w:hAnsi="Wingdings" w:hint="default"/>
      </w:rPr>
    </w:lvl>
    <w:lvl w:ilvl="6" w:tplc="64B84B74" w:tentative="1">
      <w:start w:val="1"/>
      <w:numFmt w:val="bullet"/>
      <w:lvlText w:val=""/>
      <w:lvlJc w:val="left"/>
      <w:pPr>
        <w:ind w:left="5040" w:hanging="360"/>
      </w:pPr>
      <w:rPr>
        <w:rFonts w:ascii="Symbol" w:hAnsi="Symbol" w:hint="default"/>
      </w:rPr>
    </w:lvl>
    <w:lvl w:ilvl="7" w:tplc="07FCCAEE" w:tentative="1">
      <w:start w:val="1"/>
      <w:numFmt w:val="bullet"/>
      <w:lvlText w:val="o"/>
      <w:lvlJc w:val="left"/>
      <w:pPr>
        <w:ind w:left="5760" w:hanging="360"/>
      </w:pPr>
      <w:rPr>
        <w:rFonts w:ascii="Courier New" w:hAnsi="Courier New" w:cs="Courier New" w:hint="default"/>
      </w:rPr>
    </w:lvl>
    <w:lvl w:ilvl="8" w:tplc="AFA6FE2C" w:tentative="1">
      <w:start w:val="1"/>
      <w:numFmt w:val="bullet"/>
      <w:lvlText w:val=""/>
      <w:lvlJc w:val="left"/>
      <w:pPr>
        <w:ind w:left="6480" w:hanging="360"/>
      </w:pPr>
      <w:rPr>
        <w:rFonts w:ascii="Wingdings" w:hAnsi="Wingdings" w:hint="default"/>
      </w:rPr>
    </w:lvl>
  </w:abstractNum>
  <w:abstractNum w:abstractNumId="29" w15:restartNumberingAfterBreak="0">
    <w:nsid w:val="747F0ADE"/>
    <w:multiLevelType w:val="hybridMultilevel"/>
    <w:tmpl w:val="160E8E48"/>
    <w:lvl w:ilvl="0" w:tplc="67769D44">
      <w:start w:val="1"/>
      <w:numFmt w:val="bullet"/>
      <w:lvlText w:val=""/>
      <w:lvlJc w:val="left"/>
      <w:pPr>
        <w:ind w:left="720" w:hanging="360"/>
      </w:pPr>
      <w:rPr>
        <w:rFonts w:ascii="Symbol" w:hAnsi="Symbol" w:hint="default"/>
      </w:rPr>
    </w:lvl>
    <w:lvl w:ilvl="1" w:tplc="E8D0015A" w:tentative="1">
      <w:start w:val="1"/>
      <w:numFmt w:val="bullet"/>
      <w:lvlText w:val="o"/>
      <w:lvlJc w:val="left"/>
      <w:pPr>
        <w:ind w:left="1440" w:hanging="360"/>
      </w:pPr>
      <w:rPr>
        <w:rFonts w:ascii="Courier New" w:hAnsi="Courier New" w:cs="Courier New" w:hint="default"/>
      </w:rPr>
    </w:lvl>
    <w:lvl w:ilvl="2" w:tplc="3BD02154" w:tentative="1">
      <w:start w:val="1"/>
      <w:numFmt w:val="bullet"/>
      <w:lvlText w:val=""/>
      <w:lvlJc w:val="left"/>
      <w:pPr>
        <w:ind w:left="2160" w:hanging="360"/>
      </w:pPr>
      <w:rPr>
        <w:rFonts w:ascii="Wingdings" w:hAnsi="Wingdings" w:hint="default"/>
      </w:rPr>
    </w:lvl>
    <w:lvl w:ilvl="3" w:tplc="1972B3C6" w:tentative="1">
      <w:start w:val="1"/>
      <w:numFmt w:val="bullet"/>
      <w:lvlText w:val=""/>
      <w:lvlJc w:val="left"/>
      <w:pPr>
        <w:ind w:left="2880" w:hanging="360"/>
      </w:pPr>
      <w:rPr>
        <w:rFonts w:ascii="Symbol" w:hAnsi="Symbol" w:hint="default"/>
      </w:rPr>
    </w:lvl>
    <w:lvl w:ilvl="4" w:tplc="3C0E54C4" w:tentative="1">
      <w:start w:val="1"/>
      <w:numFmt w:val="bullet"/>
      <w:lvlText w:val="o"/>
      <w:lvlJc w:val="left"/>
      <w:pPr>
        <w:ind w:left="3600" w:hanging="360"/>
      </w:pPr>
      <w:rPr>
        <w:rFonts w:ascii="Courier New" w:hAnsi="Courier New" w:cs="Courier New" w:hint="default"/>
      </w:rPr>
    </w:lvl>
    <w:lvl w:ilvl="5" w:tplc="64546A9E" w:tentative="1">
      <w:start w:val="1"/>
      <w:numFmt w:val="bullet"/>
      <w:lvlText w:val=""/>
      <w:lvlJc w:val="left"/>
      <w:pPr>
        <w:ind w:left="4320" w:hanging="360"/>
      </w:pPr>
      <w:rPr>
        <w:rFonts w:ascii="Wingdings" w:hAnsi="Wingdings" w:hint="default"/>
      </w:rPr>
    </w:lvl>
    <w:lvl w:ilvl="6" w:tplc="AF8AAC84" w:tentative="1">
      <w:start w:val="1"/>
      <w:numFmt w:val="bullet"/>
      <w:lvlText w:val=""/>
      <w:lvlJc w:val="left"/>
      <w:pPr>
        <w:ind w:left="5040" w:hanging="360"/>
      </w:pPr>
      <w:rPr>
        <w:rFonts w:ascii="Symbol" w:hAnsi="Symbol" w:hint="default"/>
      </w:rPr>
    </w:lvl>
    <w:lvl w:ilvl="7" w:tplc="F9223D82" w:tentative="1">
      <w:start w:val="1"/>
      <w:numFmt w:val="bullet"/>
      <w:lvlText w:val="o"/>
      <w:lvlJc w:val="left"/>
      <w:pPr>
        <w:ind w:left="5760" w:hanging="360"/>
      </w:pPr>
      <w:rPr>
        <w:rFonts w:ascii="Courier New" w:hAnsi="Courier New" w:cs="Courier New" w:hint="default"/>
      </w:rPr>
    </w:lvl>
    <w:lvl w:ilvl="8" w:tplc="2CFAC7E4" w:tentative="1">
      <w:start w:val="1"/>
      <w:numFmt w:val="bullet"/>
      <w:lvlText w:val=""/>
      <w:lvlJc w:val="left"/>
      <w:pPr>
        <w:ind w:left="6480" w:hanging="360"/>
      </w:pPr>
      <w:rPr>
        <w:rFonts w:ascii="Wingdings" w:hAnsi="Wingdings" w:hint="default"/>
      </w:rPr>
    </w:lvl>
  </w:abstractNum>
  <w:abstractNum w:abstractNumId="30" w15:restartNumberingAfterBreak="0">
    <w:nsid w:val="770A7BFC"/>
    <w:multiLevelType w:val="hybridMultilevel"/>
    <w:tmpl w:val="AE3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66A5B"/>
    <w:multiLevelType w:val="hybridMultilevel"/>
    <w:tmpl w:val="05EA4098"/>
    <w:lvl w:ilvl="0" w:tplc="12C0C2F8">
      <w:start w:val="1"/>
      <w:numFmt w:val="bullet"/>
      <w:lvlText w:val=""/>
      <w:lvlJc w:val="left"/>
      <w:pPr>
        <w:ind w:left="720" w:hanging="360"/>
      </w:pPr>
      <w:rPr>
        <w:rFonts w:ascii="Symbol" w:hAnsi="Symbol" w:hint="default"/>
      </w:rPr>
    </w:lvl>
    <w:lvl w:ilvl="1" w:tplc="4DEA73C2" w:tentative="1">
      <w:start w:val="1"/>
      <w:numFmt w:val="bullet"/>
      <w:lvlText w:val="o"/>
      <w:lvlJc w:val="left"/>
      <w:pPr>
        <w:ind w:left="1440" w:hanging="360"/>
      </w:pPr>
      <w:rPr>
        <w:rFonts w:ascii="Courier New" w:hAnsi="Courier New" w:cs="Courier New" w:hint="default"/>
      </w:rPr>
    </w:lvl>
    <w:lvl w:ilvl="2" w:tplc="701C52AC" w:tentative="1">
      <w:start w:val="1"/>
      <w:numFmt w:val="bullet"/>
      <w:lvlText w:val=""/>
      <w:lvlJc w:val="left"/>
      <w:pPr>
        <w:ind w:left="2160" w:hanging="360"/>
      </w:pPr>
      <w:rPr>
        <w:rFonts w:ascii="Wingdings" w:hAnsi="Wingdings" w:hint="default"/>
      </w:rPr>
    </w:lvl>
    <w:lvl w:ilvl="3" w:tplc="0BB47114" w:tentative="1">
      <w:start w:val="1"/>
      <w:numFmt w:val="bullet"/>
      <w:lvlText w:val=""/>
      <w:lvlJc w:val="left"/>
      <w:pPr>
        <w:ind w:left="2880" w:hanging="360"/>
      </w:pPr>
      <w:rPr>
        <w:rFonts w:ascii="Symbol" w:hAnsi="Symbol" w:hint="default"/>
      </w:rPr>
    </w:lvl>
    <w:lvl w:ilvl="4" w:tplc="8DE27D9C" w:tentative="1">
      <w:start w:val="1"/>
      <w:numFmt w:val="bullet"/>
      <w:lvlText w:val="o"/>
      <w:lvlJc w:val="left"/>
      <w:pPr>
        <w:ind w:left="3600" w:hanging="360"/>
      </w:pPr>
      <w:rPr>
        <w:rFonts w:ascii="Courier New" w:hAnsi="Courier New" w:cs="Courier New" w:hint="default"/>
      </w:rPr>
    </w:lvl>
    <w:lvl w:ilvl="5" w:tplc="2A36B750" w:tentative="1">
      <w:start w:val="1"/>
      <w:numFmt w:val="bullet"/>
      <w:lvlText w:val=""/>
      <w:lvlJc w:val="left"/>
      <w:pPr>
        <w:ind w:left="4320" w:hanging="360"/>
      </w:pPr>
      <w:rPr>
        <w:rFonts w:ascii="Wingdings" w:hAnsi="Wingdings" w:hint="default"/>
      </w:rPr>
    </w:lvl>
    <w:lvl w:ilvl="6" w:tplc="16ECCE34" w:tentative="1">
      <w:start w:val="1"/>
      <w:numFmt w:val="bullet"/>
      <w:lvlText w:val=""/>
      <w:lvlJc w:val="left"/>
      <w:pPr>
        <w:ind w:left="5040" w:hanging="360"/>
      </w:pPr>
      <w:rPr>
        <w:rFonts w:ascii="Symbol" w:hAnsi="Symbol" w:hint="default"/>
      </w:rPr>
    </w:lvl>
    <w:lvl w:ilvl="7" w:tplc="41223EA2" w:tentative="1">
      <w:start w:val="1"/>
      <w:numFmt w:val="bullet"/>
      <w:lvlText w:val="o"/>
      <w:lvlJc w:val="left"/>
      <w:pPr>
        <w:ind w:left="5760" w:hanging="360"/>
      </w:pPr>
      <w:rPr>
        <w:rFonts w:ascii="Courier New" w:hAnsi="Courier New" w:cs="Courier New" w:hint="default"/>
      </w:rPr>
    </w:lvl>
    <w:lvl w:ilvl="8" w:tplc="58D2C3DA" w:tentative="1">
      <w:start w:val="1"/>
      <w:numFmt w:val="bullet"/>
      <w:lvlText w:val=""/>
      <w:lvlJc w:val="left"/>
      <w:pPr>
        <w:ind w:left="6480" w:hanging="360"/>
      </w:pPr>
      <w:rPr>
        <w:rFonts w:ascii="Wingdings" w:hAnsi="Wingdings" w:hint="default"/>
      </w:rPr>
    </w:lvl>
  </w:abstractNum>
  <w:abstractNum w:abstractNumId="32" w15:restartNumberingAfterBreak="0">
    <w:nsid w:val="7D190210"/>
    <w:multiLevelType w:val="hybridMultilevel"/>
    <w:tmpl w:val="9B441E0C"/>
    <w:lvl w:ilvl="0" w:tplc="99B2D40C">
      <w:start w:val="1"/>
      <w:numFmt w:val="bullet"/>
      <w:lvlText w:val=""/>
      <w:lvlJc w:val="left"/>
      <w:pPr>
        <w:ind w:left="720" w:hanging="360"/>
      </w:pPr>
      <w:rPr>
        <w:rFonts w:ascii="Symbol" w:hAnsi="Symbol" w:hint="default"/>
      </w:rPr>
    </w:lvl>
    <w:lvl w:ilvl="1" w:tplc="58CABAC2" w:tentative="1">
      <w:start w:val="1"/>
      <w:numFmt w:val="bullet"/>
      <w:lvlText w:val="o"/>
      <w:lvlJc w:val="left"/>
      <w:pPr>
        <w:ind w:left="1440" w:hanging="360"/>
      </w:pPr>
      <w:rPr>
        <w:rFonts w:ascii="Courier New" w:hAnsi="Courier New" w:cs="Courier New" w:hint="default"/>
      </w:rPr>
    </w:lvl>
    <w:lvl w:ilvl="2" w:tplc="383CBBE6" w:tentative="1">
      <w:start w:val="1"/>
      <w:numFmt w:val="bullet"/>
      <w:lvlText w:val=""/>
      <w:lvlJc w:val="left"/>
      <w:pPr>
        <w:ind w:left="2160" w:hanging="360"/>
      </w:pPr>
      <w:rPr>
        <w:rFonts w:ascii="Wingdings" w:hAnsi="Wingdings" w:hint="default"/>
      </w:rPr>
    </w:lvl>
    <w:lvl w:ilvl="3" w:tplc="DA1C2770" w:tentative="1">
      <w:start w:val="1"/>
      <w:numFmt w:val="bullet"/>
      <w:lvlText w:val=""/>
      <w:lvlJc w:val="left"/>
      <w:pPr>
        <w:ind w:left="2880" w:hanging="360"/>
      </w:pPr>
      <w:rPr>
        <w:rFonts w:ascii="Symbol" w:hAnsi="Symbol" w:hint="default"/>
      </w:rPr>
    </w:lvl>
    <w:lvl w:ilvl="4" w:tplc="77207566" w:tentative="1">
      <w:start w:val="1"/>
      <w:numFmt w:val="bullet"/>
      <w:lvlText w:val="o"/>
      <w:lvlJc w:val="left"/>
      <w:pPr>
        <w:ind w:left="3600" w:hanging="360"/>
      </w:pPr>
      <w:rPr>
        <w:rFonts w:ascii="Courier New" w:hAnsi="Courier New" w:cs="Courier New" w:hint="default"/>
      </w:rPr>
    </w:lvl>
    <w:lvl w:ilvl="5" w:tplc="36A6E5A6" w:tentative="1">
      <w:start w:val="1"/>
      <w:numFmt w:val="bullet"/>
      <w:lvlText w:val=""/>
      <w:lvlJc w:val="left"/>
      <w:pPr>
        <w:ind w:left="4320" w:hanging="360"/>
      </w:pPr>
      <w:rPr>
        <w:rFonts w:ascii="Wingdings" w:hAnsi="Wingdings" w:hint="default"/>
      </w:rPr>
    </w:lvl>
    <w:lvl w:ilvl="6" w:tplc="B5B21B50" w:tentative="1">
      <w:start w:val="1"/>
      <w:numFmt w:val="bullet"/>
      <w:lvlText w:val=""/>
      <w:lvlJc w:val="left"/>
      <w:pPr>
        <w:ind w:left="5040" w:hanging="360"/>
      </w:pPr>
      <w:rPr>
        <w:rFonts w:ascii="Symbol" w:hAnsi="Symbol" w:hint="default"/>
      </w:rPr>
    </w:lvl>
    <w:lvl w:ilvl="7" w:tplc="2C342256" w:tentative="1">
      <w:start w:val="1"/>
      <w:numFmt w:val="bullet"/>
      <w:lvlText w:val="o"/>
      <w:lvlJc w:val="left"/>
      <w:pPr>
        <w:ind w:left="5760" w:hanging="360"/>
      </w:pPr>
      <w:rPr>
        <w:rFonts w:ascii="Courier New" w:hAnsi="Courier New" w:cs="Courier New" w:hint="default"/>
      </w:rPr>
    </w:lvl>
    <w:lvl w:ilvl="8" w:tplc="B202AEE6" w:tentative="1">
      <w:start w:val="1"/>
      <w:numFmt w:val="bullet"/>
      <w:lvlText w:val=""/>
      <w:lvlJc w:val="left"/>
      <w:pPr>
        <w:ind w:left="6480" w:hanging="360"/>
      </w:pPr>
      <w:rPr>
        <w:rFonts w:ascii="Wingdings" w:hAnsi="Wingdings" w:hint="default"/>
      </w:rPr>
    </w:lvl>
  </w:abstractNum>
  <w:num w:numId="1" w16cid:durableId="1830709074">
    <w:abstractNumId w:val="7"/>
  </w:num>
  <w:num w:numId="2" w16cid:durableId="1532650994">
    <w:abstractNumId w:val="19"/>
  </w:num>
  <w:num w:numId="3" w16cid:durableId="2111781276">
    <w:abstractNumId w:val="0"/>
  </w:num>
  <w:num w:numId="4" w16cid:durableId="412243080">
    <w:abstractNumId w:val="2"/>
  </w:num>
  <w:num w:numId="5" w16cid:durableId="722368715">
    <w:abstractNumId w:val="11"/>
  </w:num>
  <w:num w:numId="6" w16cid:durableId="705063320">
    <w:abstractNumId w:val="24"/>
  </w:num>
  <w:num w:numId="7" w16cid:durableId="1019549460">
    <w:abstractNumId w:val="13"/>
  </w:num>
  <w:num w:numId="8" w16cid:durableId="1246919489">
    <w:abstractNumId w:val="21"/>
  </w:num>
  <w:num w:numId="9" w16cid:durableId="607390198">
    <w:abstractNumId w:val="5"/>
  </w:num>
  <w:num w:numId="10" w16cid:durableId="1819684130">
    <w:abstractNumId w:val="3"/>
  </w:num>
  <w:num w:numId="11" w16cid:durableId="1919749603">
    <w:abstractNumId w:val="29"/>
  </w:num>
  <w:num w:numId="12" w16cid:durableId="764108714">
    <w:abstractNumId w:val="26"/>
  </w:num>
  <w:num w:numId="13" w16cid:durableId="451285073">
    <w:abstractNumId w:val="15"/>
  </w:num>
  <w:num w:numId="14" w16cid:durableId="166945951">
    <w:abstractNumId w:val="17"/>
  </w:num>
  <w:num w:numId="15" w16cid:durableId="1530725326">
    <w:abstractNumId w:val="31"/>
  </w:num>
  <w:num w:numId="16" w16cid:durableId="717362478">
    <w:abstractNumId w:val="28"/>
  </w:num>
  <w:num w:numId="17" w16cid:durableId="1592470047">
    <w:abstractNumId w:val="4"/>
  </w:num>
  <w:num w:numId="18" w16cid:durableId="1064832468">
    <w:abstractNumId w:val="10"/>
  </w:num>
  <w:num w:numId="19" w16cid:durableId="2043048447">
    <w:abstractNumId w:val="16"/>
  </w:num>
  <w:num w:numId="20" w16cid:durableId="2049143110">
    <w:abstractNumId w:val="32"/>
  </w:num>
  <w:num w:numId="21" w16cid:durableId="1825464512">
    <w:abstractNumId w:val="1"/>
  </w:num>
  <w:num w:numId="22" w16cid:durableId="1926038156">
    <w:abstractNumId w:val="9"/>
  </w:num>
  <w:num w:numId="23" w16cid:durableId="1357851448">
    <w:abstractNumId w:val="25"/>
  </w:num>
  <w:num w:numId="24" w16cid:durableId="1667973770">
    <w:abstractNumId w:val="14"/>
  </w:num>
  <w:num w:numId="25" w16cid:durableId="612635694">
    <w:abstractNumId w:val="8"/>
  </w:num>
  <w:num w:numId="26" w16cid:durableId="1285766452">
    <w:abstractNumId w:val="22"/>
  </w:num>
  <w:num w:numId="27" w16cid:durableId="1726365838">
    <w:abstractNumId w:val="12"/>
  </w:num>
  <w:num w:numId="28" w16cid:durableId="548541798">
    <w:abstractNumId w:val="18"/>
  </w:num>
  <w:num w:numId="29" w16cid:durableId="779884861">
    <w:abstractNumId w:val="6"/>
  </w:num>
  <w:num w:numId="30" w16cid:durableId="812867986">
    <w:abstractNumId w:val="23"/>
  </w:num>
  <w:num w:numId="31" w16cid:durableId="354355997">
    <w:abstractNumId w:val="27"/>
  </w:num>
  <w:num w:numId="32" w16cid:durableId="1020281973">
    <w:abstractNumId w:val="20"/>
  </w:num>
  <w:num w:numId="33" w16cid:durableId="5629556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3"/>
    <w:rsid w:val="00002F40"/>
    <w:rsid w:val="00004C14"/>
    <w:rsid w:val="00004D53"/>
    <w:rsid w:val="00005912"/>
    <w:rsid w:val="000059FD"/>
    <w:rsid w:val="00006846"/>
    <w:rsid w:val="0000783C"/>
    <w:rsid w:val="00010501"/>
    <w:rsid w:val="00010E6E"/>
    <w:rsid w:val="00014026"/>
    <w:rsid w:val="000163D0"/>
    <w:rsid w:val="00016C2A"/>
    <w:rsid w:val="000176B2"/>
    <w:rsid w:val="000208B1"/>
    <w:rsid w:val="00020D1E"/>
    <w:rsid w:val="000213E2"/>
    <w:rsid w:val="00023C92"/>
    <w:rsid w:val="00026503"/>
    <w:rsid w:val="00026527"/>
    <w:rsid w:val="00026BFC"/>
    <w:rsid w:val="000276C1"/>
    <w:rsid w:val="00027D67"/>
    <w:rsid w:val="00030951"/>
    <w:rsid w:val="00031CE4"/>
    <w:rsid w:val="000325B7"/>
    <w:rsid w:val="000349C7"/>
    <w:rsid w:val="00035601"/>
    <w:rsid w:val="00037D91"/>
    <w:rsid w:val="000402DD"/>
    <w:rsid w:val="000408B9"/>
    <w:rsid w:val="00042FB7"/>
    <w:rsid w:val="00044C44"/>
    <w:rsid w:val="00044E09"/>
    <w:rsid w:val="00044FF5"/>
    <w:rsid w:val="0004739E"/>
    <w:rsid w:val="00051031"/>
    <w:rsid w:val="0005124F"/>
    <w:rsid w:val="0005177C"/>
    <w:rsid w:val="000532C9"/>
    <w:rsid w:val="000544FE"/>
    <w:rsid w:val="00054D6D"/>
    <w:rsid w:val="00056679"/>
    <w:rsid w:val="00056A44"/>
    <w:rsid w:val="00056E58"/>
    <w:rsid w:val="0005754E"/>
    <w:rsid w:val="00060044"/>
    <w:rsid w:val="000609D1"/>
    <w:rsid w:val="00060A45"/>
    <w:rsid w:val="00060B5B"/>
    <w:rsid w:val="0006136B"/>
    <w:rsid w:val="000616E6"/>
    <w:rsid w:val="000617BC"/>
    <w:rsid w:val="00062023"/>
    <w:rsid w:val="00062D94"/>
    <w:rsid w:val="00063365"/>
    <w:rsid w:val="0006338B"/>
    <w:rsid w:val="00064BAA"/>
    <w:rsid w:val="00064BE8"/>
    <w:rsid w:val="00064E74"/>
    <w:rsid w:val="0007247C"/>
    <w:rsid w:val="00073361"/>
    <w:rsid w:val="00074D22"/>
    <w:rsid w:val="00077955"/>
    <w:rsid w:val="00080662"/>
    <w:rsid w:val="00080879"/>
    <w:rsid w:val="00081159"/>
    <w:rsid w:val="00081ECC"/>
    <w:rsid w:val="00082C99"/>
    <w:rsid w:val="0008430B"/>
    <w:rsid w:val="00084A8B"/>
    <w:rsid w:val="00086387"/>
    <w:rsid w:val="00086A8E"/>
    <w:rsid w:val="00087DB2"/>
    <w:rsid w:val="0009152D"/>
    <w:rsid w:val="00092E9E"/>
    <w:rsid w:val="00093A28"/>
    <w:rsid w:val="00094F1B"/>
    <w:rsid w:val="00095112"/>
    <w:rsid w:val="00095A89"/>
    <w:rsid w:val="00095BE9"/>
    <w:rsid w:val="00096076"/>
    <w:rsid w:val="000974EB"/>
    <w:rsid w:val="000A0C53"/>
    <w:rsid w:val="000A18A0"/>
    <w:rsid w:val="000A22FB"/>
    <w:rsid w:val="000A4AD2"/>
    <w:rsid w:val="000A5C07"/>
    <w:rsid w:val="000A6D8E"/>
    <w:rsid w:val="000A75F6"/>
    <w:rsid w:val="000B23F1"/>
    <w:rsid w:val="000B2FC2"/>
    <w:rsid w:val="000B3985"/>
    <w:rsid w:val="000B557B"/>
    <w:rsid w:val="000B7EBC"/>
    <w:rsid w:val="000C1C9E"/>
    <w:rsid w:val="000C23AA"/>
    <w:rsid w:val="000C24AF"/>
    <w:rsid w:val="000C75B0"/>
    <w:rsid w:val="000D0560"/>
    <w:rsid w:val="000D0595"/>
    <w:rsid w:val="000D1035"/>
    <w:rsid w:val="000D154C"/>
    <w:rsid w:val="000D19EB"/>
    <w:rsid w:val="000D2173"/>
    <w:rsid w:val="000D4BEB"/>
    <w:rsid w:val="000D602D"/>
    <w:rsid w:val="000D6818"/>
    <w:rsid w:val="000D7282"/>
    <w:rsid w:val="000D7D56"/>
    <w:rsid w:val="000E06BB"/>
    <w:rsid w:val="000E0AD6"/>
    <w:rsid w:val="000E1DC9"/>
    <w:rsid w:val="000E309C"/>
    <w:rsid w:val="000E3840"/>
    <w:rsid w:val="000E50EB"/>
    <w:rsid w:val="000E536B"/>
    <w:rsid w:val="000E6896"/>
    <w:rsid w:val="000E6AC3"/>
    <w:rsid w:val="000F086A"/>
    <w:rsid w:val="000F1D3C"/>
    <w:rsid w:val="000F2B82"/>
    <w:rsid w:val="000F5109"/>
    <w:rsid w:val="000F5666"/>
    <w:rsid w:val="000F6538"/>
    <w:rsid w:val="00101430"/>
    <w:rsid w:val="001014F6"/>
    <w:rsid w:val="00101C84"/>
    <w:rsid w:val="00102305"/>
    <w:rsid w:val="0010267B"/>
    <w:rsid w:val="00103984"/>
    <w:rsid w:val="001044D3"/>
    <w:rsid w:val="00105F2A"/>
    <w:rsid w:val="00110228"/>
    <w:rsid w:val="001103EA"/>
    <w:rsid w:val="00110F20"/>
    <w:rsid w:val="00111C90"/>
    <w:rsid w:val="001126FE"/>
    <w:rsid w:val="00113AE9"/>
    <w:rsid w:val="00114115"/>
    <w:rsid w:val="00114896"/>
    <w:rsid w:val="00117512"/>
    <w:rsid w:val="00117960"/>
    <w:rsid w:val="00120140"/>
    <w:rsid w:val="001201B7"/>
    <w:rsid w:val="00121DFF"/>
    <w:rsid w:val="00125B54"/>
    <w:rsid w:val="00127C0F"/>
    <w:rsid w:val="0012F630"/>
    <w:rsid w:val="00130C3C"/>
    <w:rsid w:val="00131878"/>
    <w:rsid w:val="0013417D"/>
    <w:rsid w:val="00134B37"/>
    <w:rsid w:val="00135449"/>
    <w:rsid w:val="00136060"/>
    <w:rsid w:val="00137A65"/>
    <w:rsid w:val="0014042C"/>
    <w:rsid w:val="00140A7B"/>
    <w:rsid w:val="00140B13"/>
    <w:rsid w:val="00140ED9"/>
    <w:rsid w:val="001411F9"/>
    <w:rsid w:val="001418A6"/>
    <w:rsid w:val="001429A2"/>
    <w:rsid w:val="00143F0C"/>
    <w:rsid w:val="001453AB"/>
    <w:rsid w:val="0014693E"/>
    <w:rsid w:val="00146C70"/>
    <w:rsid w:val="00150124"/>
    <w:rsid w:val="00150A21"/>
    <w:rsid w:val="00150CC1"/>
    <w:rsid w:val="00151159"/>
    <w:rsid w:val="001515BC"/>
    <w:rsid w:val="001527F9"/>
    <w:rsid w:val="0015280E"/>
    <w:rsid w:val="00153C28"/>
    <w:rsid w:val="00154BE7"/>
    <w:rsid w:val="0016095D"/>
    <w:rsid w:val="00160EE4"/>
    <w:rsid w:val="001611C0"/>
    <w:rsid w:val="0016139E"/>
    <w:rsid w:val="0016196A"/>
    <w:rsid w:val="00161CEE"/>
    <w:rsid w:val="00162F11"/>
    <w:rsid w:val="00163C69"/>
    <w:rsid w:val="001641F4"/>
    <w:rsid w:val="00170D71"/>
    <w:rsid w:val="00170F1C"/>
    <w:rsid w:val="00171CF5"/>
    <w:rsid w:val="00175DC6"/>
    <w:rsid w:val="00176259"/>
    <w:rsid w:val="00177CB1"/>
    <w:rsid w:val="00182A6A"/>
    <w:rsid w:val="00183B61"/>
    <w:rsid w:val="001846B3"/>
    <w:rsid w:val="0018543D"/>
    <w:rsid w:val="00185D31"/>
    <w:rsid w:val="0019060A"/>
    <w:rsid w:val="00191EEC"/>
    <w:rsid w:val="00192C6B"/>
    <w:rsid w:val="001931DF"/>
    <w:rsid w:val="001935DA"/>
    <w:rsid w:val="00193E99"/>
    <w:rsid w:val="00197B36"/>
    <w:rsid w:val="00197B88"/>
    <w:rsid w:val="001A4DBB"/>
    <w:rsid w:val="001A5356"/>
    <w:rsid w:val="001A7237"/>
    <w:rsid w:val="001B1056"/>
    <w:rsid w:val="001B23FE"/>
    <w:rsid w:val="001B331F"/>
    <w:rsid w:val="001B65EF"/>
    <w:rsid w:val="001B6D2B"/>
    <w:rsid w:val="001B7427"/>
    <w:rsid w:val="001B7503"/>
    <w:rsid w:val="001B77A0"/>
    <w:rsid w:val="001B7A1B"/>
    <w:rsid w:val="001C0B04"/>
    <w:rsid w:val="001C3F1A"/>
    <w:rsid w:val="001C4500"/>
    <w:rsid w:val="001C48C1"/>
    <w:rsid w:val="001C6CBF"/>
    <w:rsid w:val="001C6EF0"/>
    <w:rsid w:val="001D3BD3"/>
    <w:rsid w:val="001D4580"/>
    <w:rsid w:val="001D7E65"/>
    <w:rsid w:val="001D7E72"/>
    <w:rsid w:val="001E0F0D"/>
    <w:rsid w:val="001E1037"/>
    <w:rsid w:val="001E11AE"/>
    <w:rsid w:val="001E3477"/>
    <w:rsid w:val="001E4459"/>
    <w:rsid w:val="001E6AF1"/>
    <w:rsid w:val="001E7A52"/>
    <w:rsid w:val="001E7C6D"/>
    <w:rsid w:val="001E7DFA"/>
    <w:rsid w:val="001F098A"/>
    <w:rsid w:val="001F3261"/>
    <w:rsid w:val="001F3CC3"/>
    <w:rsid w:val="001F3E50"/>
    <w:rsid w:val="001F4F48"/>
    <w:rsid w:val="001F5BF5"/>
    <w:rsid w:val="001F622B"/>
    <w:rsid w:val="001F724E"/>
    <w:rsid w:val="00200074"/>
    <w:rsid w:val="00200C74"/>
    <w:rsid w:val="00201E54"/>
    <w:rsid w:val="0020471E"/>
    <w:rsid w:val="0020472C"/>
    <w:rsid w:val="00205A08"/>
    <w:rsid w:val="00211749"/>
    <w:rsid w:val="00212C6B"/>
    <w:rsid w:val="002133EF"/>
    <w:rsid w:val="00213EB3"/>
    <w:rsid w:val="00220E10"/>
    <w:rsid w:val="00224C37"/>
    <w:rsid w:val="002250F1"/>
    <w:rsid w:val="00225C13"/>
    <w:rsid w:val="00226190"/>
    <w:rsid w:val="00230105"/>
    <w:rsid w:val="00230284"/>
    <w:rsid w:val="00231911"/>
    <w:rsid w:val="002325C3"/>
    <w:rsid w:val="0023400B"/>
    <w:rsid w:val="00235916"/>
    <w:rsid w:val="00236284"/>
    <w:rsid w:val="00241A18"/>
    <w:rsid w:val="0024246E"/>
    <w:rsid w:val="00242D81"/>
    <w:rsid w:val="00242D9E"/>
    <w:rsid w:val="00243FD8"/>
    <w:rsid w:val="00245526"/>
    <w:rsid w:val="002459F4"/>
    <w:rsid w:val="00247963"/>
    <w:rsid w:val="00250CD6"/>
    <w:rsid w:val="00252734"/>
    <w:rsid w:val="002532B1"/>
    <w:rsid w:val="002534C8"/>
    <w:rsid w:val="00254ECD"/>
    <w:rsid w:val="002610DB"/>
    <w:rsid w:val="00261F30"/>
    <w:rsid w:val="00267930"/>
    <w:rsid w:val="00270C8F"/>
    <w:rsid w:val="002710C7"/>
    <w:rsid w:val="002712CC"/>
    <w:rsid w:val="0027496A"/>
    <w:rsid w:val="0027580C"/>
    <w:rsid w:val="00275DD7"/>
    <w:rsid w:val="00276704"/>
    <w:rsid w:val="002779A9"/>
    <w:rsid w:val="00277BEB"/>
    <w:rsid w:val="00280EA4"/>
    <w:rsid w:val="002814D2"/>
    <w:rsid w:val="00281A37"/>
    <w:rsid w:val="002823F2"/>
    <w:rsid w:val="002824DC"/>
    <w:rsid w:val="00283377"/>
    <w:rsid w:val="00283FF4"/>
    <w:rsid w:val="0028459C"/>
    <w:rsid w:val="00285672"/>
    <w:rsid w:val="00286506"/>
    <w:rsid w:val="0028767A"/>
    <w:rsid w:val="00287F2C"/>
    <w:rsid w:val="00287FD0"/>
    <w:rsid w:val="002908FA"/>
    <w:rsid w:val="002910D2"/>
    <w:rsid w:val="002914C6"/>
    <w:rsid w:val="0029236A"/>
    <w:rsid w:val="00294A4B"/>
    <w:rsid w:val="00294A53"/>
    <w:rsid w:val="00297121"/>
    <w:rsid w:val="0029752B"/>
    <w:rsid w:val="00297D02"/>
    <w:rsid w:val="002A0F8E"/>
    <w:rsid w:val="002A23BF"/>
    <w:rsid w:val="002A2F8C"/>
    <w:rsid w:val="002A3214"/>
    <w:rsid w:val="002A3FBA"/>
    <w:rsid w:val="002A5448"/>
    <w:rsid w:val="002B0E4C"/>
    <w:rsid w:val="002B3C65"/>
    <w:rsid w:val="002B3EEB"/>
    <w:rsid w:val="002B4AC0"/>
    <w:rsid w:val="002B4B68"/>
    <w:rsid w:val="002B7223"/>
    <w:rsid w:val="002C1FB7"/>
    <w:rsid w:val="002C3B7B"/>
    <w:rsid w:val="002C738A"/>
    <w:rsid w:val="002C7527"/>
    <w:rsid w:val="002D0BB9"/>
    <w:rsid w:val="002D113C"/>
    <w:rsid w:val="002D1AA9"/>
    <w:rsid w:val="002D22F6"/>
    <w:rsid w:val="002D27E8"/>
    <w:rsid w:val="002D47F8"/>
    <w:rsid w:val="002D48C1"/>
    <w:rsid w:val="002D56D4"/>
    <w:rsid w:val="002E1800"/>
    <w:rsid w:val="002E4830"/>
    <w:rsid w:val="002F05FF"/>
    <w:rsid w:val="002F0D82"/>
    <w:rsid w:val="002F17B7"/>
    <w:rsid w:val="002F3580"/>
    <w:rsid w:val="002F3C65"/>
    <w:rsid w:val="002F58F5"/>
    <w:rsid w:val="002F62CE"/>
    <w:rsid w:val="002F6477"/>
    <w:rsid w:val="002F6AD6"/>
    <w:rsid w:val="002F6D6E"/>
    <w:rsid w:val="003009D8"/>
    <w:rsid w:val="00300D7A"/>
    <w:rsid w:val="0030178D"/>
    <w:rsid w:val="003024DD"/>
    <w:rsid w:val="00302CDF"/>
    <w:rsid w:val="00302EB1"/>
    <w:rsid w:val="00304370"/>
    <w:rsid w:val="003046B1"/>
    <w:rsid w:val="0030511E"/>
    <w:rsid w:val="0030553F"/>
    <w:rsid w:val="003074BA"/>
    <w:rsid w:val="003076B0"/>
    <w:rsid w:val="003119BA"/>
    <w:rsid w:val="003124B4"/>
    <w:rsid w:val="0031289A"/>
    <w:rsid w:val="00312B98"/>
    <w:rsid w:val="003131E3"/>
    <w:rsid w:val="00314915"/>
    <w:rsid w:val="00314A16"/>
    <w:rsid w:val="00315E29"/>
    <w:rsid w:val="003163A7"/>
    <w:rsid w:val="00321C4D"/>
    <w:rsid w:val="00323EB4"/>
    <w:rsid w:val="003241DF"/>
    <w:rsid w:val="00324B0F"/>
    <w:rsid w:val="00326F3F"/>
    <w:rsid w:val="0032734F"/>
    <w:rsid w:val="00327968"/>
    <w:rsid w:val="00327F40"/>
    <w:rsid w:val="00330A77"/>
    <w:rsid w:val="003313EA"/>
    <w:rsid w:val="00331E83"/>
    <w:rsid w:val="00332312"/>
    <w:rsid w:val="00332429"/>
    <w:rsid w:val="00333A88"/>
    <w:rsid w:val="00334E5E"/>
    <w:rsid w:val="0033569B"/>
    <w:rsid w:val="00335CA7"/>
    <w:rsid w:val="00336FC4"/>
    <w:rsid w:val="00337043"/>
    <w:rsid w:val="00340871"/>
    <w:rsid w:val="00341A7F"/>
    <w:rsid w:val="00342833"/>
    <w:rsid w:val="00345487"/>
    <w:rsid w:val="00345F41"/>
    <w:rsid w:val="00346779"/>
    <w:rsid w:val="003472E1"/>
    <w:rsid w:val="0034739A"/>
    <w:rsid w:val="0035007E"/>
    <w:rsid w:val="00350208"/>
    <w:rsid w:val="00351B55"/>
    <w:rsid w:val="00351C69"/>
    <w:rsid w:val="00352064"/>
    <w:rsid w:val="003550FC"/>
    <w:rsid w:val="0035745C"/>
    <w:rsid w:val="00362084"/>
    <w:rsid w:val="00362D79"/>
    <w:rsid w:val="00363A2D"/>
    <w:rsid w:val="003649B0"/>
    <w:rsid w:val="003677EB"/>
    <w:rsid w:val="00370524"/>
    <w:rsid w:val="003705C6"/>
    <w:rsid w:val="00371C35"/>
    <w:rsid w:val="00372FF2"/>
    <w:rsid w:val="00373BEE"/>
    <w:rsid w:val="003748DA"/>
    <w:rsid w:val="003753CD"/>
    <w:rsid w:val="00375959"/>
    <w:rsid w:val="00375F98"/>
    <w:rsid w:val="00376C24"/>
    <w:rsid w:val="0037719E"/>
    <w:rsid w:val="00377CF9"/>
    <w:rsid w:val="00380690"/>
    <w:rsid w:val="00380D24"/>
    <w:rsid w:val="00380FDD"/>
    <w:rsid w:val="00382D55"/>
    <w:rsid w:val="003859E4"/>
    <w:rsid w:val="003860FF"/>
    <w:rsid w:val="00386177"/>
    <w:rsid w:val="003865F6"/>
    <w:rsid w:val="0038672F"/>
    <w:rsid w:val="003872B7"/>
    <w:rsid w:val="003906CF"/>
    <w:rsid w:val="00390BD2"/>
    <w:rsid w:val="00391100"/>
    <w:rsid w:val="003914E8"/>
    <w:rsid w:val="00393388"/>
    <w:rsid w:val="003948C9"/>
    <w:rsid w:val="00394A43"/>
    <w:rsid w:val="003951C0"/>
    <w:rsid w:val="00395636"/>
    <w:rsid w:val="00396538"/>
    <w:rsid w:val="00396DD8"/>
    <w:rsid w:val="003A09D7"/>
    <w:rsid w:val="003A15BC"/>
    <w:rsid w:val="003A28DE"/>
    <w:rsid w:val="003A2986"/>
    <w:rsid w:val="003A3B8C"/>
    <w:rsid w:val="003A3D06"/>
    <w:rsid w:val="003A3F63"/>
    <w:rsid w:val="003A3F65"/>
    <w:rsid w:val="003A49A5"/>
    <w:rsid w:val="003A6035"/>
    <w:rsid w:val="003B06B9"/>
    <w:rsid w:val="003B07AD"/>
    <w:rsid w:val="003B146B"/>
    <w:rsid w:val="003B187B"/>
    <w:rsid w:val="003B1BF0"/>
    <w:rsid w:val="003B2958"/>
    <w:rsid w:val="003B2DBA"/>
    <w:rsid w:val="003B365E"/>
    <w:rsid w:val="003B482A"/>
    <w:rsid w:val="003B4B1E"/>
    <w:rsid w:val="003B5DCB"/>
    <w:rsid w:val="003B6146"/>
    <w:rsid w:val="003B6300"/>
    <w:rsid w:val="003C21D1"/>
    <w:rsid w:val="003C28BE"/>
    <w:rsid w:val="003C367E"/>
    <w:rsid w:val="003C42EA"/>
    <w:rsid w:val="003C441A"/>
    <w:rsid w:val="003C6665"/>
    <w:rsid w:val="003D2A8A"/>
    <w:rsid w:val="003D451B"/>
    <w:rsid w:val="003D4552"/>
    <w:rsid w:val="003D6579"/>
    <w:rsid w:val="003E056F"/>
    <w:rsid w:val="003E194A"/>
    <w:rsid w:val="003E61E3"/>
    <w:rsid w:val="003E6618"/>
    <w:rsid w:val="003E7A25"/>
    <w:rsid w:val="003F4048"/>
    <w:rsid w:val="003F501F"/>
    <w:rsid w:val="003F7564"/>
    <w:rsid w:val="003F787E"/>
    <w:rsid w:val="00400C22"/>
    <w:rsid w:val="00400DF8"/>
    <w:rsid w:val="00403E25"/>
    <w:rsid w:val="00403F7E"/>
    <w:rsid w:val="004051F2"/>
    <w:rsid w:val="0040527E"/>
    <w:rsid w:val="00406652"/>
    <w:rsid w:val="004076C4"/>
    <w:rsid w:val="00410EC9"/>
    <w:rsid w:val="004112C9"/>
    <w:rsid w:val="00412B89"/>
    <w:rsid w:val="004138DF"/>
    <w:rsid w:val="004142F8"/>
    <w:rsid w:val="00416343"/>
    <w:rsid w:val="00416A95"/>
    <w:rsid w:val="00420215"/>
    <w:rsid w:val="0042272F"/>
    <w:rsid w:val="0042277E"/>
    <w:rsid w:val="00423B0E"/>
    <w:rsid w:val="00423C2D"/>
    <w:rsid w:val="00425565"/>
    <w:rsid w:val="00425DE4"/>
    <w:rsid w:val="004262F2"/>
    <w:rsid w:val="00430B52"/>
    <w:rsid w:val="00431EDE"/>
    <w:rsid w:val="0043317D"/>
    <w:rsid w:val="004343CB"/>
    <w:rsid w:val="004400D0"/>
    <w:rsid w:val="00444851"/>
    <w:rsid w:val="00444A95"/>
    <w:rsid w:val="00445AC9"/>
    <w:rsid w:val="00452420"/>
    <w:rsid w:val="00452574"/>
    <w:rsid w:val="00452F2D"/>
    <w:rsid w:val="00453E9B"/>
    <w:rsid w:val="0045436F"/>
    <w:rsid w:val="004552BA"/>
    <w:rsid w:val="004555DA"/>
    <w:rsid w:val="00455B09"/>
    <w:rsid w:val="00460A8C"/>
    <w:rsid w:val="004645F6"/>
    <w:rsid w:val="00465C9A"/>
    <w:rsid w:val="004716D6"/>
    <w:rsid w:val="004773E6"/>
    <w:rsid w:val="004774C8"/>
    <w:rsid w:val="00477CB5"/>
    <w:rsid w:val="00480561"/>
    <w:rsid w:val="00480D07"/>
    <w:rsid w:val="00485A28"/>
    <w:rsid w:val="0048685A"/>
    <w:rsid w:val="00490DCC"/>
    <w:rsid w:val="00491299"/>
    <w:rsid w:val="00491D68"/>
    <w:rsid w:val="00492EFE"/>
    <w:rsid w:val="004931AE"/>
    <w:rsid w:val="00493BBF"/>
    <w:rsid w:val="00493F4A"/>
    <w:rsid w:val="00497998"/>
    <w:rsid w:val="004A0E5C"/>
    <w:rsid w:val="004A115B"/>
    <w:rsid w:val="004A1D0F"/>
    <w:rsid w:val="004A244B"/>
    <w:rsid w:val="004A26A6"/>
    <w:rsid w:val="004A28E4"/>
    <w:rsid w:val="004A2B7F"/>
    <w:rsid w:val="004A35E9"/>
    <w:rsid w:val="004A372B"/>
    <w:rsid w:val="004A3B48"/>
    <w:rsid w:val="004A5F5E"/>
    <w:rsid w:val="004A6E2A"/>
    <w:rsid w:val="004B0BC2"/>
    <w:rsid w:val="004B285A"/>
    <w:rsid w:val="004B368F"/>
    <w:rsid w:val="004B4838"/>
    <w:rsid w:val="004B7869"/>
    <w:rsid w:val="004C46F1"/>
    <w:rsid w:val="004C4CDB"/>
    <w:rsid w:val="004D2DD1"/>
    <w:rsid w:val="004D3087"/>
    <w:rsid w:val="004D3839"/>
    <w:rsid w:val="004D48C3"/>
    <w:rsid w:val="004D7AE9"/>
    <w:rsid w:val="004E0A65"/>
    <w:rsid w:val="004E0B3D"/>
    <w:rsid w:val="004E0D49"/>
    <w:rsid w:val="004E27A6"/>
    <w:rsid w:val="004E28A9"/>
    <w:rsid w:val="004E5606"/>
    <w:rsid w:val="004E5671"/>
    <w:rsid w:val="004E639E"/>
    <w:rsid w:val="004F076E"/>
    <w:rsid w:val="004F3222"/>
    <w:rsid w:val="004F3C81"/>
    <w:rsid w:val="004F58EB"/>
    <w:rsid w:val="004F77E9"/>
    <w:rsid w:val="00501447"/>
    <w:rsid w:val="00502CF7"/>
    <w:rsid w:val="00503533"/>
    <w:rsid w:val="005048E4"/>
    <w:rsid w:val="00504F8E"/>
    <w:rsid w:val="005066B0"/>
    <w:rsid w:val="0050727B"/>
    <w:rsid w:val="005075FF"/>
    <w:rsid w:val="00507D82"/>
    <w:rsid w:val="00510222"/>
    <w:rsid w:val="00510752"/>
    <w:rsid w:val="0051112A"/>
    <w:rsid w:val="0051241F"/>
    <w:rsid w:val="00512E5C"/>
    <w:rsid w:val="005134D4"/>
    <w:rsid w:val="00513A5A"/>
    <w:rsid w:val="00514807"/>
    <w:rsid w:val="005158B4"/>
    <w:rsid w:val="005163CD"/>
    <w:rsid w:val="005168D5"/>
    <w:rsid w:val="005230EF"/>
    <w:rsid w:val="005242C0"/>
    <w:rsid w:val="00524388"/>
    <w:rsid w:val="00527AEA"/>
    <w:rsid w:val="00530795"/>
    <w:rsid w:val="00530E85"/>
    <w:rsid w:val="005339D8"/>
    <w:rsid w:val="00535665"/>
    <w:rsid w:val="005373CC"/>
    <w:rsid w:val="00541200"/>
    <w:rsid w:val="00541D8C"/>
    <w:rsid w:val="00541E5C"/>
    <w:rsid w:val="00542C09"/>
    <w:rsid w:val="0054326D"/>
    <w:rsid w:val="00543CDF"/>
    <w:rsid w:val="00545C69"/>
    <w:rsid w:val="00546FEF"/>
    <w:rsid w:val="0055032C"/>
    <w:rsid w:val="0055137B"/>
    <w:rsid w:val="00551434"/>
    <w:rsid w:val="005514C6"/>
    <w:rsid w:val="005516D2"/>
    <w:rsid w:val="00551C67"/>
    <w:rsid w:val="0055213F"/>
    <w:rsid w:val="0055252F"/>
    <w:rsid w:val="0055265F"/>
    <w:rsid w:val="00553D4F"/>
    <w:rsid w:val="00554E6A"/>
    <w:rsid w:val="005561BF"/>
    <w:rsid w:val="00557901"/>
    <w:rsid w:val="00560D7C"/>
    <w:rsid w:val="00561112"/>
    <w:rsid w:val="005632B9"/>
    <w:rsid w:val="005633F8"/>
    <w:rsid w:val="005634FE"/>
    <w:rsid w:val="0056389E"/>
    <w:rsid w:val="005649EE"/>
    <w:rsid w:val="00564B02"/>
    <w:rsid w:val="00567AEC"/>
    <w:rsid w:val="00570B9C"/>
    <w:rsid w:val="00570E65"/>
    <w:rsid w:val="00571139"/>
    <w:rsid w:val="00571A12"/>
    <w:rsid w:val="0057247B"/>
    <w:rsid w:val="00572487"/>
    <w:rsid w:val="005769C6"/>
    <w:rsid w:val="005825A3"/>
    <w:rsid w:val="0058268B"/>
    <w:rsid w:val="00583D6A"/>
    <w:rsid w:val="00584AC5"/>
    <w:rsid w:val="00586B6E"/>
    <w:rsid w:val="00587435"/>
    <w:rsid w:val="00587EED"/>
    <w:rsid w:val="00590025"/>
    <w:rsid w:val="00590209"/>
    <w:rsid w:val="00591614"/>
    <w:rsid w:val="00592F64"/>
    <w:rsid w:val="0059456B"/>
    <w:rsid w:val="00595AC4"/>
    <w:rsid w:val="00596834"/>
    <w:rsid w:val="0059687A"/>
    <w:rsid w:val="005A1B34"/>
    <w:rsid w:val="005A2610"/>
    <w:rsid w:val="005A2ACF"/>
    <w:rsid w:val="005A2FD1"/>
    <w:rsid w:val="005A40AF"/>
    <w:rsid w:val="005A59A2"/>
    <w:rsid w:val="005A5AE4"/>
    <w:rsid w:val="005A5CB7"/>
    <w:rsid w:val="005A6E29"/>
    <w:rsid w:val="005A7C70"/>
    <w:rsid w:val="005A7CEF"/>
    <w:rsid w:val="005B00D5"/>
    <w:rsid w:val="005B189F"/>
    <w:rsid w:val="005B3968"/>
    <w:rsid w:val="005B5717"/>
    <w:rsid w:val="005B5988"/>
    <w:rsid w:val="005B60B3"/>
    <w:rsid w:val="005B6FF6"/>
    <w:rsid w:val="005B7C96"/>
    <w:rsid w:val="005C1678"/>
    <w:rsid w:val="005C1BD3"/>
    <w:rsid w:val="005C2EB3"/>
    <w:rsid w:val="005C3073"/>
    <w:rsid w:val="005C4490"/>
    <w:rsid w:val="005C4AE4"/>
    <w:rsid w:val="005C50A8"/>
    <w:rsid w:val="005C53DD"/>
    <w:rsid w:val="005C6163"/>
    <w:rsid w:val="005C726B"/>
    <w:rsid w:val="005D3082"/>
    <w:rsid w:val="005D371F"/>
    <w:rsid w:val="005D3AC4"/>
    <w:rsid w:val="005D449F"/>
    <w:rsid w:val="005D7E4C"/>
    <w:rsid w:val="005E19AC"/>
    <w:rsid w:val="005E1D1A"/>
    <w:rsid w:val="005E2D55"/>
    <w:rsid w:val="005E3108"/>
    <w:rsid w:val="005E4578"/>
    <w:rsid w:val="005E5039"/>
    <w:rsid w:val="005F058C"/>
    <w:rsid w:val="005F05A6"/>
    <w:rsid w:val="005F0C8C"/>
    <w:rsid w:val="005F0F83"/>
    <w:rsid w:val="005F1C25"/>
    <w:rsid w:val="005F20DC"/>
    <w:rsid w:val="005F5897"/>
    <w:rsid w:val="005F7516"/>
    <w:rsid w:val="005F7721"/>
    <w:rsid w:val="005F7F2E"/>
    <w:rsid w:val="0060116B"/>
    <w:rsid w:val="0060126E"/>
    <w:rsid w:val="00601DDA"/>
    <w:rsid w:val="00602267"/>
    <w:rsid w:val="00602CB7"/>
    <w:rsid w:val="00604EAA"/>
    <w:rsid w:val="006065F2"/>
    <w:rsid w:val="006066E1"/>
    <w:rsid w:val="00606BC2"/>
    <w:rsid w:val="00607979"/>
    <w:rsid w:val="00607FA3"/>
    <w:rsid w:val="0061002E"/>
    <w:rsid w:val="00612195"/>
    <w:rsid w:val="00614C5B"/>
    <w:rsid w:val="00614D4F"/>
    <w:rsid w:val="00616894"/>
    <w:rsid w:val="00617030"/>
    <w:rsid w:val="00617895"/>
    <w:rsid w:val="006222A5"/>
    <w:rsid w:val="006234EA"/>
    <w:rsid w:val="00623739"/>
    <w:rsid w:val="0062378B"/>
    <w:rsid w:val="0062616E"/>
    <w:rsid w:val="0062670B"/>
    <w:rsid w:val="00627D81"/>
    <w:rsid w:val="00631AA7"/>
    <w:rsid w:val="00631E34"/>
    <w:rsid w:val="0063411A"/>
    <w:rsid w:val="00635578"/>
    <w:rsid w:val="006363DA"/>
    <w:rsid w:val="00640F8C"/>
    <w:rsid w:val="0064197F"/>
    <w:rsid w:val="0064207F"/>
    <w:rsid w:val="0064346E"/>
    <w:rsid w:val="00644F28"/>
    <w:rsid w:val="00646D89"/>
    <w:rsid w:val="00650B12"/>
    <w:rsid w:val="00650EA0"/>
    <w:rsid w:val="006530A6"/>
    <w:rsid w:val="00653108"/>
    <w:rsid w:val="00653246"/>
    <w:rsid w:val="00653807"/>
    <w:rsid w:val="00654BD8"/>
    <w:rsid w:val="00654C72"/>
    <w:rsid w:val="0065675D"/>
    <w:rsid w:val="006567D7"/>
    <w:rsid w:val="0065786E"/>
    <w:rsid w:val="00661E76"/>
    <w:rsid w:val="0066267E"/>
    <w:rsid w:val="00662FB7"/>
    <w:rsid w:val="00664272"/>
    <w:rsid w:val="00664670"/>
    <w:rsid w:val="006648DD"/>
    <w:rsid w:val="006651D6"/>
    <w:rsid w:val="00666CCF"/>
    <w:rsid w:val="00667233"/>
    <w:rsid w:val="00670225"/>
    <w:rsid w:val="006715A6"/>
    <w:rsid w:val="006759EF"/>
    <w:rsid w:val="00675C5B"/>
    <w:rsid w:val="00676C75"/>
    <w:rsid w:val="00677AEC"/>
    <w:rsid w:val="00681ABD"/>
    <w:rsid w:val="00681CA5"/>
    <w:rsid w:val="0068500F"/>
    <w:rsid w:val="00685567"/>
    <w:rsid w:val="00685BC6"/>
    <w:rsid w:val="00687542"/>
    <w:rsid w:val="00687CB0"/>
    <w:rsid w:val="006906F9"/>
    <w:rsid w:val="00690A79"/>
    <w:rsid w:val="006915DD"/>
    <w:rsid w:val="006929EE"/>
    <w:rsid w:val="006932BF"/>
    <w:rsid w:val="006934CB"/>
    <w:rsid w:val="006966C8"/>
    <w:rsid w:val="00696AAF"/>
    <w:rsid w:val="00697F50"/>
    <w:rsid w:val="006A3174"/>
    <w:rsid w:val="006A45EC"/>
    <w:rsid w:val="006A5D8E"/>
    <w:rsid w:val="006B1137"/>
    <w:rsid w:val="006B118A"/>
    <w:rsid w:val="006B3C60"/>
    <w:rsid w:val="006B429A"/>
    <w:rsid w:val="006B4C26"/>
    <w:rsid w:val="006B515E"/>
    <w:rsid w:val="006B5225"/>
    <w:rsid w:val="006B525D"/>
    <w:rsid w:val="006B71E8"/>
    <w:rsid w:val="006B7ED7"/>
    <w:rsid w:val="006C1693"/>
    <w:rsid w:val="006C2D67"/>
    <w:rsid w:val="006C3C9E"/>
    <w:rsid w:val="006C4554"/>
    <w:rsid w:val="006C4958"/>
    <w:rsid w:val="006C600A"/>
    <w:rsid w:val="006C669C"/>
    <w:rsid w:val="006C7345"/>
    <w:rsid w:val="006D0417"/>
    <w:rsid w:val="006D080F"/>
    <w:rsid w:val="006D0AB1"/>
    <w:rsid w:val="006D1123"/>
    <w:rsid w:val="006D1B80"/>
    <w:rsid w:val="006D2155"/>
    <w:rsid w:val="006D31EF"/>
    <w:rsid w:val="006D3502"/>
    <w:rsid w:val="006D3951"/>
    <w:rsid w:val="006D44A5"/>
    <w:rsid w:val="006D5202"/>
    <w:rsid w:val="006D5C03"/>
    <w:rsid w:val="006D5EA9"/>
    <w:rsid w:val="006D7435"/>
    <w:rsid w:val="006D76FB"/>
    <w:rsid w:val="006D7D00"/>
    <w:rsid w:val="006E0EE1"/>
    <w:rsid w:val="006E2757"/>
    <w:rsid w:val="006E349B"/>
    <w:rsid w:val="006E3EFE"/>
    <w:rsid w:val="006E4664"/>
    <w:rsid w:val="006E5BDC"/>
    <w:rsid w:val="006E6A7D"/>
    <w:rsid w:val="006E7B5E"/>
    <w:rsid w:val="006F2712"/>
    <w:rsid w:val="006F3C9F"/>
    <w:rsid w:val="006F4172"/>
    <w:rsid w:val="006F4A2A"/>
    <w:rsid w:val="006F4DAC"/>
    <w:rsid w:val="006F5483"/>
    <w:rsid w:val="006F56ED"/>
    <w:rsid w:val="00700A24"/>
    <w:rsid w:val="00702867"/>
    <w:rsid w:val="00704FCF"/>
    <w:rsid w:val="00705DFD"/>
    <w:rsid w:val="00706D84"/>
    <w:rsid w:val="00707E71"/>
    <w:rsid w:val="00710263"/>
    <w:rsid w:val="0071150B"/>
    <w:rsid w:val="00711B6E"/>
    <w:rsid w:val="00713926"/>
    <w:rsid w:val="00713F72"/>
    <w:rsid w:val="00714AAB"/>
    <w:rsid w:val="00716649"/>
    <w:rsid w:val="00720BE0"/>
    <w:rsid w:val="00723DEA"/>
    <w:rsid w:val="00724B11"/>
    <w:rsid w:val="0072688C"/>
    <w:rsid w:val="00726B4C"/>
    <w:rsid w:val="00727A44"/>
    <w:rsid w:val="00727CAE"/>
    <w:rsid w:val="00727E3D"/>
    <w:rsid w:val="00730D85"/>
    <w:rsid w:val="00731833"/>
    <w:rsid w:val="00732FA2"/>
    <w:rsid w:val="00734C1D"/>
    <w:rsid w:val="00734CC4"/>
    <w:rsid w:val="00741950"/>
    <w:rsid w:val="007426B6"/>
    <w:rsid w:val="00745FFA"/>
    <w:rsid w:val="007474AF"/>
    <w:rsid w:val="00750BD3"/>
    <w:rsid w:val="007514FB"/>
    <w:rsid w:val="0075499E"/>
    <w:rsid w:val="00755004"/>
    <w:rsid w:val="007620B5"/>
    <w:rsid w:val="00762179"/>
    <w:rsid w:val="00762C7F"/>
    <w:rsid w:val="00762F71"/>
    <w:rsid w:val="0076455B"/>
    <w:rsid w:val="007645BE"/>
    <w:rsid w:val="007674FD"/>
    <w:rsid w:val="00767679"/>
    <w:rsid w:val="007678EB"/>
    <w:rsid w:val="00767B7D"/>
    <w:rsid w:val="00771142"/>
    <w:rsid w:val="00771156"/>
    <w:rsid w:val="0077259B"/>
    <w:rsid w:val="00774BAB"/>
    <w:rsid w:val="00776166"/>
    <w:rsid w:val="00776588"/>
    <w:rsid w:val="00776B83"/>
    <w:rsid w:val="00776BFC"/>
    <w:rsid w:val="007830C6"/>
    <w:rsid w:val="0078317A"/>
    <w:rsid w:val="00783F43"/>
    <w:rsid w:val="007844D2"/>
    <w:rsid w:val="00785896"/>
    <w:rsid w:val="00785A36"/>
    <w:rsid w:val="00787C7E"/>
    <w:rsid w:val="00787FA5"/>
    <w:rsid w:val="0079001A"/>
    <w:rsid w:val="00790E55"/>
    <w:rsid w:val="00792877"/>
    <w:rsid w:val="00793FE9"/>
    <w:rsid w:val="007A0994"/>
    <w:rsid w:val="007A1478"/>
    <w:rsid w:val="007A21B6"/>
    <w:rsid w:val="007A2E5D"/>
    <w:rsid w:val="007A56F7"/>
    <w:rsid w:val="007A5E86"/>
    <w:rsid w:val="007B1B94"/>
    <w:rsid w:val="007B1BEC"/>
    <w:rsid w:val="007B2B86"/>
    <w:rsid w:val="007B2B88"/>
    <w:rsid w:val="007B6E0A"/>
    <w:rsid w:val="007B733E"/>
    <w:rsid w:val="007C04DB"/>
    <w:rsid w:val="007C2391"/>
    <w:rsid w:val="007C2458"/>
    <w:rsid w:val="007C2E23"/>
    <w:rsid w:val="007C5CF9"/>
    <w:rsid w:val="007C6A26"/>
    <w:rsid w:val="007D01E0"/>
    <w:rsid w:val="007D030B"/>
    <w:rsid w:val="007D0F1F"/>
    <w:rsid w:val="007D1918"/>
    <w:rsid w:val="007D36A7"/>
    <w:rsid w:val="007D44A8"/>
    <w:rsid w:val="007D4D3A"/>
    <w:rsid w:val="007D502F"/>
    <w:rsid w:val="007D574B"/>
    <w:rsid w:val="007D6662"/>
    <w:rsid w:val="007D6F4F"/>
    <w:rsid w:val="007E06B9"/>
    <w:rsid w:val="007E35C5"/>
    <w:rsid w:val="007E3B15"/>
    <w:rsid w:val="007E4E24"/>
    <w:rsid w:val="007E62EE"/>
    <w:rsid w:val="007E6FD4"/>
    <w:rsid w:val="007F0F2F"/>
    <w:rsid w:val="007F1754"/>
    <w:rsid w:val="007F30A4"/>
    <w:rsid w:val="007F39C6"/>
    <w:rsid w:val="007F3ED1"/>
    <w:rsid w:val="007F4DB6"/>
    <w:rsid w:val="007F7C41"/>
    <w:rsid w:val="00800133"/>
    <w:rsid w:val="00800654"/>
    <w:rsid w:val="00800763"/>
    <w:rsid w:val="0080158D"/>
    <w:rsid w:val="00801B75"/>
    <w:rsid w:val="00802DE5"/>
    <w:rsid w:val="00802EE1"/>
    <w:rsid w:val="00802FA3"/>
    <w:rsid w:val="00803782"/>
    <w:rsid w:val="00807D42"/>
    <w:rsid w:val="008105FC"/>
    <w:rsid w:val="00810C1B"/>
    <w:rsid w:val="00811956"/>
    <w:rsid w:val="00812458"/>
    <w:rsid w:val="0081386F"/>
    <w:rsid w:val="0082232E"/>
    <w:rsid w:val="00831102"/>
    <w:rsid w:val="00831403"/>
    <w:rsid w:val="00832491"/>
    <w:rsid w:val="00832C3F"/>
    <w:rsid w:val="00833152"/>
    <w:rsid w:val="00833493"/>
    <w:rsid w:val="00834873"/>
    <w:rsid w:val="0083621A"/>
    <w:rsid w:val="0083709D"/>
    <w:rsid w:val="0083781F"/>
    <w:rsid w:val="008411B3"/>
    <w:rsid w:val="00842413"/>
    <w:rsid w:val="008427B9"/>
    <w:rsid w:val="008428F1"/>
    <w:rsid w:val="00843E17"/>
    <w:rsid w:val="00844631"/>
    <w:rsid w:val="00846579"/>
    <w:rsid w:val="00846AAA"/>
    <w:rsid w:val="008515DE"/>
    <w:rsid w:val="008545B3"/>
    <w:rsid w:val="008561BF"/>
    <w:rsid w:val="008564EF"/>
    <w:rsid w:val="008570BE"/>
    <w:rsid w:val="00857B29"/>
    <w:rsid w:val="00860262"/>
    <w:rsid w:val="008605BE"/>
    <w:rsid w:val="00864413"/>
    <w:rsid w:val="00864458"/>
    <w:rsid w:val="00865837"/>
    <w:rsid w:val="00866C30"/>
    <w:rsid w:val="0086730D"/>
    <w:rsid w:val="008716BD"/>
    <w:rsid w:val="008726EC"/>
    <w:rsid w:val="008731EE"/>
    <w:rsid w:val="008759C4"/>
    <w:rsid w:val="008776B2"/>
    <w:rsid w:val="008778E4"/>
    <w:rsid w:val="00880AC6"/>
    <w:rsid w:val="008813F7"/>
    <w:rsid w:val="0088165B"/>
    <w:rsid w:val="00882B00"/>
    <w:rsid w:val="00883005"/>
    <w:rsid w:val="008849C0"/>
    <w:rsid w:val="00891D08"/>
    <w:rsid w:val="008925FA"/>
    <w:rsid w:val="00892DEC"/>
    <w:rsid w:val="00896C1B"/>
    <w:rsid w:val="00896FA7"/>
    <w:rsid w:val="00897821"/>
    <w:rsid w:val="00897A7C"/>
    <w:rsid w:val="00897BE1"/>
    <w:rsid w:val="008A122C"/>
    <w:rsid w:val="008A26C0"/>
    <w:rsid w:val="008A339B"/>
    <w:rsid w:val="008A33B5"/>
    <w:rsid w:val="008A43B8"/>
    <w:rsid w:val="008A5084"/>
    <w:rsid w:val="008A54B0"/>
    <w:rsid w:val="008A6206"/>
    <w:rsid w:val="008A6780"/>
    <w:rsid w:val="008A7480"/>
    <w:rsid w:val="008B3CB6"/>
    <w:rsid w:val="008B4A55"/>
    <w:rsid w:val="008B6FAD"/>
    <w:rsid w:val="008C1A3F"/>
    <w:rsid w:val="008C1ED4"/>
    <w:rsid w:val="008C2986"/>
    <w:rsid w:val="008C2D76"/>
    <w:rsid w:val="008C2E38"/>
    <w:rsid w:val="008C3308"/>
    <w:rsid w:val="008C4044"/>
    <w:rsid w:val="008C65CF"/>
    <w:rsid w:val="008C6ECA"/>
    <w:rsid w:val="008C7BBD"/>
    <w:rsid w:val="008C7EAA"/>
    <w:rsid w:val="008D0B57"/>
    <w:rsid w:val="008D195E"/>
    <w:rsid w:val="008D1D04"/>
    <w:rsid w:val="008D351F"/>
    <w:rsid w:val="008D766B"/>
    <w:rsid w:val="008E0605"/>
    <w:rsid w:val="008E0883"/>
    <w:rsid w:val="008E3537"/>
    <w:rsid w:val="008E3D8E"/>
    <w:rsid w:val="008E40FD"/>
    <w:rsid w:val="008E57D0"/>
    <w:rsid w:val="008E66F5"/>
    <w:rsid w:val="008E6A0D"/>
    <w:rsid w:val="008E7AD6"/>
    <w:rsid w:val="008E7F6D"/>
    <w:rsid w:val="008F00BC"/>
    <w:rsid w:val="008F0805"/>
    <w:rsid w:val="008F16C7"/>
    <w:rsid w:val="008F33E4"/>
    <w:rsid w:val="008F3FBE"/>
    <w:rsid w:val="008F4F1C"/>
    <w:rsid w:val="008F7200"/>
    <w:rsid w:val="008F7B69"/>
    <w:rsid w:val="009004A3"/>
    <w:rsid w:val="00900BBA"/>
    <w:rsid w:val="0090344C"/>
    <w:rsid w:val="00903A5D"/>
    <w:rsid w:val="00904E3B"/>
    <w:rsid w:val="00906A7C"/>
    <w:rsid w:val="00906A80"/>
    <w:rsid w:val="00906E07"/>
    <w:rsid w:val="00907F6D"/>
    <w:rsid w:val="0091002E"/>
    <w:rsid w:val="00912D73"/>
    <w:rsid w:val="00913346"/>
    <w:rsid w:val="00913EE6"/>
    <w:rsid w:val="009161EF"/>
    <w:rsid w:val="00917107"/>
    <w:rsid w:val="00917284"/>
    <w:rsid w:val="00922BB0"/>
    <w:rsid w:val="00923B73"/>
    <w:rsid w:val="00924393"/>
    <w:rsid w:val="009272F3"/>
    <w:rsid w:val="00931AAE"/>
    <w:rsid w:val="00931D53"/>
    <w:rsid w:val="00932021"/>
    <w:rsid w:val="00933ED5"/>
    <w:rsid w:val="0093562A"/>
    <w:rsid w:val="00935A89"/>
    <w:rsid w:val="00937B6E"/>
    <w:rsid w:val="00937CFA"/>
    <w:rsid w:val="0094156E"/>
    <w:rsid w:val="00941FCF"/>
    <w:rsid w:val="009427E2"/>
    <w:rsid w:val="009427F8"/>
    <w:rsid w:val="009435A1"/>
    <w:rsid w:val="00944D1D"/>
    <w:rsid w:val="00945FCB"/>
    <w:rsid w:val="009461CD"/>
    <w:rsid w:val="0094649A"/>
    <w:rsid w:val="00947383"/>
    <w:rsid w:val="009474DE"/>
    <w:rsid w:val="00947657"/>
    <w:rsid w:val="00952068"/>
    <w:rsid w:val="00952563"/>
    <w:rsid w:val="0095324F"/>
    <w:rsid w:val="00956E06"/>
    <w:rsid w:val="0095795A"/>
    <w:rsid w:val="00960027"/>
    <w:rsid w:val="00961004"/>
    <w:rsid w:val="00962882"/>
    <w:rsid w:val="00962D2A"/>
    <w:rsid w:val="009635B0"/>
    <w:rsid w:val="00963A24"/>
    <w:rsid w:val="00965444"/>
    <w:rsid w:val="009663C7"/>
    <w:rsid w:val="009704F3"/>
    <w:rsid w:val="00970690"/>
    <w:rsid w:val="00971738"/>
    <w:rsid w:val="00971CC0"/>
    <w:rsid w:val="00971CF7"/>
    <w:rsid w:val="00971FA7"/>
    <w:rsid w:val="00972582"/>
    <w:rsid w:val="0097308B"/>
    <w:rsid w:val="00973535"/>
    <w:rsid w:val="00973EBA"/>
    <w:rsid w:val="009749E5"/>
    <w:rsid w:val="00976BB2"/>
    <w:rsid w:val="00982632"/>
    <w:rsid w:val="00983012"/>
    <w:rsid w:val="009840B3"/>
    <w:rsid w:val="00984D37"/>
    <w:rsid w:val="00986C0D"/>
    <w:rsid w:val="00987593"/>
    <w:rsid w:val="00990317"/>
    <w:rsid w:val="0099172F"/>
    <w:rsid w:val="00993308"/>
    <w:rsid w:val="0099505A"/>
    <w:rsid w:val="00995D91"/>
    <w:rsid w:val="009964EA"/>
    <w:rsid w:val="009977F9"/>
    <w:rsid w:val="009A1E46"/>
    <w:rsid w:val="009A2188"/>
    <w:rsid w:val="009A2BFA"/>
    <w:rsid w:val="009A405F"/>
    <w:rsid w:val="009A488F"/>
    <w:rsid w:val="009A5128"/>
    <w:rsid w:val="009A5DA3"/>
    <w:rsid w:val="009A6199"/>
    <w:rsid w:val="009B0408"/>
    <w:rsid w:val="009B0C3C"/>
    <w:rsid w:val="009B4FC1"/>
    <w:rsid w:val="009B6FE8"/>
    <w:rsid w:val="009B70A8"/>
    <w:rsid w:val="009C3963"/>
    <w:rsid w:val="009C4B3A"/>
    <w:rsid w:val="009C5A7E"/>
    <w:rsid w:val="009C66E5"/>
    <w:rsid w:val="009C70C9"/>
    <w:rsid w:val="009D0B9D"/>
    <w:rsid w:val="009D12E6"/>
    <w:rsid w:val="009D15C5"/>
    <w:rsid w:val="009D1769"/>
    <w:rsid w:val="009D2421"/>
    <w:rsid w:val="009D28E2"/>
    <w:rsid w:val="009D2C07"/>
    <w:rsid w:val="009D512D"/>
    <w:rsid w:val="009D5A3D"/>
    <w:rsid w:val="009D728A"/>
    <w:rsid w:val="009E3E29"/>
    <w:rsid w:val="009E435F"/>
    <w:rsid w:val="009E43B6"/>
    <w:rsid w:val="009E571A"/>
    <w:rsid w:val="009E5B87"/>
    <w:rsid w:val="009E7AC7"/>
    <w:rsid w:val="009F01D3"/>
    <w:rsid w:val="009F10C2"/>
    <w:rsid w:val="009F1848"/>
    <w:rsid w:val="009F2C07"/>
    <w:rsid w:val="009F3FCF"/>
    <w:rsid w:val="009F6AA5"/>
    <w:rsid w:val="009F7EE7"/>
    <w:rsid w:val="00A00594"/>
    <w:rsid w:val="00A01216"/>
    <w:rsid w:val="00A020D5"/>
    <w:rsid w:val="00A028E8"/>
    <w:rsid w:val="00A02EC9"/>
    <w:rsid w:val="00A031F8"/>
    <w:rsid w:val="00A04393"/>
    <w:rsid w:val="00A0461D"/>
    <w:rsid w:val="00A04B2D"/>
    <w:rsid w:val="00A05379"/>
    <w:rsid w:val="00A06047"/>
    <w:rsid w:val="00A06584"/>
    <w:rsid w:val="00A06A35"/>
    <w:rsid w:val="00A07598"/>
    <w:rsid w:val="00A118A4"/>
    <w:rsid w:val="00A12D53"/>
    <w:rsid w:val="00A13AF6"/>
    <w:rsid w:val="00A15E29"/>
    <w:rsid w:val="00A20F96"/>
    <w:rsid w:val="00A2237F"/>
    <w:rsid w:val="00A2346D"/>
    <w:rsid w:val="00A23ACF"/>
    <w:rsid w:val="00A268B7"/>
    <w:rsid w:val="00A27426"/>
    <w:rsid w:val="00A302D2"/>
    <w:rsid w:val="00A332EE"/>
    <w:rsid w:val="00A33595"/>
    <w:rsid w:val="00A337A7"/>
    <w:rsid w:val="00A34CD6"/>
    <w:rsid w:val="00A35115"/>
    <w:rsid w:val="00A35A37"/>
    <w:rsid w:val="00A36DC7"/>
    <w:rsid w:val="00A37415"/>
    <w:rsid w:val="00A37CCF"/>
    <w:rsid w:val="00A40914"/>
    <w:rsid w:val="00A40C18"/>
    <w:rsid w:val="00A42CA3"/>
    <w:rsid w:val="00A44129"/>
    <w:rsid w:val="00A46B99"/>
    <w:rsid w:val="00A46FC7"/>
    <w:rsid w:val="00A52DAF"/>
    <w:rsid w:val="00A53495"/>
    <w:rsid w:val="00A53BA6"/>
    <w:rsid w:val="00A54AF6"/>
    <w:rsid w:val="00A560C9"/>
    <w:rsid w:val="00A5624B"/>
    <w:rsid w:val="00A56957"/>
    <w:rsid w:val="00A61F2D"/>
    <w:rsid w:val="00A637F0"/>
    <w:rsid w:val="00A64C48"/>
    <w:rsid w:val="00A64F99"/>
    <w:rsid w:val="00A669A1"/>
    <w:rsid w:val="00A66CA2"/>
    <w:rsid w:val="00A70DB8"/>
    <w:rsid w:val="00A7198F"/>
    <w:rsid w:val="00A7337D"/>
    <w:rsid w:val="00A73950"/>
    <w:rsid w:val="00A80313"/>
    <w:rsid w:val="00A808E7"/>
    <w:rsid w:val="00A816A0"/>
    <w:rsid w:val="00A816F3"/>
    <w:rsid w:val="00A84B2F"/>
    <w:rsid w:val="00A8514B"/>
    <w:rsid w:val="00A87E3E"/>
    <w:rsid w:val="00A920DE"/>
    <w:rsid w:val="00A920E7"/>
    <w:rsid w:val="00A93038"/>
    <w:rsid w:val="00A93209"/>
    <w:rsid w:val="00A94523"/>
    <w:rsid w:val="00A94B4C"/>
    <w:rsid w:val="00A94C64"/>
    <w:rsid w:val="00A94DFF"/>
    <w:rsid w:val="00AA0BC0"/>
    <w:rsid w:val="00AA23A9"/>
    <w:rsid w:val="00AA2E34"/>
    <w:rsid w:val="00AA6012"/>
    <w:rsid w:val="00AA70EC"/>
    <w:rsid w:val="00AA7D9B"/>
    <w:rsid w:val="00AB00D7"/>
    <w:rsid w:val="00AB0331"/>
    <w:rsid w:val="00AB0828"/>
    <w:rsid w:val="00AB3937"/>
    <w:rsid w:val="00AB3E70"/>
    <w:rsid w:val="00AB65BA"/>
    <w:rsid w:val="00AB6AF7"/>
    <w:rsid w:val="00AB7602"/>
    <w:rsid w:val="00AC245A"/>
    <w:rsid w:val="00AC3124"/>
    <w:rsid w:val="00AC3FE8"/>
    <w:rsid w:val="00AC414C"/>
    <w:rsid w:val="00AC4D59"/>
    <w:rsid w:val="00AC6EF4"/>
    <w:rsid w:val="00AC75B2"/>
    <w:rsid w:val="00AC764E"/>
    <w:rsid w:val="00AD25CD"/>
    <w:rsid w:val="00AD3602"/>
    <w:rsid w:val="00AD3B89"/>
    <w:rsid w:val="00AD3F64"/>
    <w:rsid w:val="00AD649C"/>
    <w:rsid w:val="00AD769F"/>
    <w:rsid w:val="00AE047F"/>
    <w:rsid w:val="00AE061D"/>
    <w:rsid w:val="00AE3396"/>
    <w:rsid w:val="00AE391E"/>
    <w:rsid w:val="00AE3C29"/>
    <w:rsid w:val="00AE4C16"/>
    <w:rsid w:val="00AE568F"/>
    <w:rsid w:val="00AE6ABB"/>
    <w:rsid w:val="00AE763D"/>
    <w:rsid w:val="00AE7A8F"/>
    <w:rsid w:val="00AF0E43"/>
    <w:rsid w:val="00AF1BB2"/>
    <w:rsid w:val="00AF1C0B"/>
    <w:rsid w:val="00AF3D07"/>
    <w:rsid w:val="00AF6BF1"/>
    <w:rsid w:val="00B001A4"/>
    <w:rsid w:val="00B016E2"/>
    <w:rsid w:val="00B02EF9"/>
    <w:rsid w:val="00B04F15"/>
    <w:rsid w:val="00B05AAA"/>
    <w:rsid w:val="00B07AD4"/>
    <w:rsid w:val="00B1020D"/>
    <w:rsid w:val="00B124A9"/>
    <w:rsid w:val="00B13D9B"/>
    <w:rsid w:val="00B141FA"/>
    <w:rsid w:val="00B14675"/>
    <w:rsid w:val="00B149AB"/>
    <w:rsid w:val="00B14B07"/>
    <w:rsid w:val="00B1687C"/>
    <w:rsid w:val="00B168C6"/>
    <w:rsid w:val="00B1761C"/>
    <w:rsid w:val="00B20EAA"/>
    <w:rsid w:val="00B255F1"/>
    <w:rsid w:val="00B25C70"/>
    <w:rsid w:val="00B3063F"/>
    <w:rsid w:val="00B308BA"/>
    <w:rsid w:val="00B34895"/>
    <w:rsid w:val="00B36C95"/>
    <w:rsid w:val="00B3723B"/>
    <w:rsid w:val="00B410C9"/>
    <w:rsid w:val="00B41D64"/>
    <w:rsid w:val="00B44C58"/>
    <w:rsid w:val="00B44FD0"/>
    <w:rsid w:val="00B452CF"/>
    <w:rsid w:val="00B4593B"/>
    <w:rsid w:val="00B45AB3"/>
    <w:rsid w:val="00B4632D"/>
    <w:rsid w:val="00B478B8"/>
    <w:rsid w:val="00B47F45"/>
    <w:rsid w:val="00B50BE3"/>
    <w:rsid w:val="00B50D3C"/>
    <w:rsid w:val="00B519B5"/>
    <w:rsid w:val="00B51C8E"/>
    <w:rsid w:val="00B51DC1"/>
    <w:rsid w:val="00B520F1"/>
    <w:rsid w:val="00B52D09"/>
    <w:rsid w:val="00B52F37"/>
    <w:rsid w:val="00B546B4"/>
    <w:rsid w:val="00B56B9C"/>
    <w:rsid w:val="00B57207"/>
    <w:rsid w:val="00B62E60"/>
    <w:rsid w:val="00B650B7"/>
    <w:rsid w:val="00B651A4"/>
    <w:rsid w:val="00B654E7"/>
    <w:rsid w:val="00B66854"/>
    <w:rsid w:val="00B66DF3"/>
    <w:rsid w:val="00B67D3C"/>
    <w:rsid w:val="00B70690"/>
    <w:rsid w:val="00B70E47"/>
    <w:rsid w:val="00B7235D"/>
    <w:rsid w:val="00B73AFD"/>
    <w:rsid w:val="00B743A1"/>
    <w:rsid w:val="00B74BBD"/>
    <w:rsid w:val="00B7550F"/>
    <w:rsid w:val="00B75AC6"/>
    <w:rsid w:val="00B760D0"/>
    <w:rsid w:val="00B76F6B"/>
    <w:rsid w:val="00B7733E"/>
    <w:rsid w:val="00B77933"/>
    <w:rsid w:val="00B804D2"/>
    <w:rsid w:val="00B809C3"/>
    <w:rsid w:val="00B80EF4"/>
    <w:rsid w:val="00B816BC"/>
    <w:rsid w:val="00B82D2C"/>
    <w:rsid w:val="00B835A7"/>
    <w:rsid w:val="00B83BED"/>
    <w:rsid w:val="00B83C5A"/>
    <w:rsid w:val="00B84AF9"/>
    <w:rsid w:val="00B85787"/>
    <w:rsid w:val="00B85B78"/>
    <w:rsid w:val="00B86DB5"/>
    <w:rsid w:val="00B9168E"/>
    <w:rsid w:val="00B9245B"/>
    <w:rsid w:val="00B9365E"/>
    <w:rsid w:val="00B956D1"/>
    <w:rsid w:val="00B965DF"/>
    <w:rsid w:val="00B97646"/>
    <w:rsid w:val="00B97934"/>
    <w:rsid w:val="00BA0B01"/>
    <w:rsid w:val="00BA26ED"/>
    <w:rsid w:val="00BA2761"/>
    <w:rsid w:val="00BA2F94"/>
    <w:rsid w:val="00BA39A4"/>
    <w:rsid w:val="00BA55C8"/>
    <w:rsid w:val="00BA5722"/>
    <w:rsid w:val="00BA602B"/>
    <w:rsid w:val="00BA775C"/>
    <w:rsid w:val="00BB03A5"/>
    <w:rsid w:val="00BB0460"/>
    <w:rsid w:val="00BB0A07"/>
    <w:rsid w:val="00BB18F5"/>
    <w:rsid w:val="00BB3958"/>
    <w:rsid w:val="00BB3CC8"/>
    <w:rsid w:val="00BB4307"/>
    <w:rsid w:val="00BB4E28"/>
    <w:rsid w:val="00BB6334"/>
    <w:rsid w:val="00BB63BE"/>
    <w:rsid w:val="00BB6C00"/>
    <w:rsid w:val="00BC0223"/>
    <w:rsid w:val="00BC1217"/>
    <w:rsid w:val="00BC1F41"/>
    <w:rsid w:val="00BC22BC"/>
    <w:rsid w:val="00BC2520"/>
    <w:rsid w:val="00BC3135"/>
    <w:rsid w:val="00BC416F"/>
    <w:rsid w:val="00BC4D2C"/>
    <w:rsid w:val="00BC5B54"/>
    <w:rsid w:val="00BC6045"/>
    <w:rsid w:val="00BC7F5B"/>
    <w:rsid w:val="00BD017E"/>
    <w:rsid w:val="00BD1A93"/>
    <w:rsid w:val="00BD215A"/>
    <w:rsid w:val="00BD3FB6"/>
    <w:rsid w:val="00BD5B79"/>
    <w:rsid w:val="00BD748A"/>
    <w:rsid w:val="00BE0844"/>
    <w:rsid w:val="00BE0C8F"/>
    <w:rsid w:val="00BE212B"/>
    <w:rsid w:val="00BE329B"/>
    <w:rsid w:val="00BE33D8"/>
    <w:rsid w:val="00BE58C9"/>
    <w:rsid w:val="00BE6CFE"/>
    <w:rsid w:val="00BE783C"/>
    <w:rsid w:val="00BF0519"/>
    <w:rsid w:val="00BF3904"/>
    <w:rsid w:val="00BF391E"/>
    <w:rsid w:val="00BF4322"/>
    <w:rsid w:val="00BF46A3"/>
    <w:rsid w:val="00BF5CD2"/>
    <w:rsid w:val="00BF7EFC"/>
    <w:rsid w:val="00C00D04"/>
    <w:rsid w:val="00C00DD6"/>
    <w:rsid w:val="00C01573"/>
    <w:rsid w:val="00C01B49"/>
    <w:rsid w:val="00C02FCD"/>
    <w:rsid w:val="00C0396B"/>
    <w:rsid w:val="00C04067"/>
    <w:rsid w:val="00C06DB0"/>
    <w:rsid w:val="00C12A15"/>
    <w:rsid w:val="00C132B8"/>
    <w:rsid w:val="00C13D7A"/>
    <w:rsid w:val="00C142E7"/>
    <w:rsid w:val="00C15DBE"/>
    <w:rsid w:val="00C177ED"/>
    <w:rsid w:val="00C17DC5"/>
    <w:rsid w:val="00C2009B"/>
    <w:rsid w:val="00C21AE7"/>
    <w:rsid w:val="00C21DC9"/>
    <w:rsid w:val="00C228C3"/>
    <w:rsid w:val="00C22A30"/>
    <w:rsid w:val="00C24CF9"/>
    <w:rsid w:val="00C2554A"/>
    <w:rsid w:val="00C25B2C"/>
    <w:rsid w:val="00C26B8A"/>
    <w:rsid w:val="00C31C5F"/>
    <w:rsid w:val="00C33D94"/>
    <w:rsid w:val="00C34206"/>
    <w:rsid w:val="00C36A01"/>
    <w:rsid w:val="00C37BBB"/>
    <w:rsid w:val="00C40961"/>
    <w:rsid w:val="00C40B88"/>
    <w:rsid w:val="00C4142B"/>
    <w:rsid w:val="00C4143E"/>
    <w:rsid w:val="00C4160F"/>
    <w:rsid w:val="00C4357B"/>
    <w:rsid w:val="00C45E7E"/>
    <w:rsid w:val="00C46F88"/>
    <w:rsid w:val="00C47B0D"/>
    <w:rsid w:val="00C52355"/>
    <w:rsid w:val="00C5390C"/>
    <w:rsid w:val="00C5453C"/>
    <w:rsid w:val="00C546FF"/>
    <w:rsid w:val="00C570DA"/>
    <w:rsid w:val="00C574FC"/>
    <w:rsid w:val="00C600D7"/>
    <w:rsid w:val="00C60247"/>
    <w:rsid w:val="00C61FD5"/>
    <w:rsid w:val="00C62005"/>
    <w:rsid w:val="00C62E5E"/>
    <w:rsid w:val="00C6562E"/>
    <w:rsid w:val="00C65952"/>
    <w:rsid w:val="00C70DBB"/>
    <w:rsid w:val="00C71996"/>
    <w:rsid w:val="00C71DD7"/>
    <w:rsid w:val="00C728AC"/>
    <w:rsid w:val="00C72AD9"/>
    <w:rsid w:val="00C749B9"/>
    <w:rsid w:val="00C75029"/>
    <w:rsid w:val="00C75D3D"/>
    <w:rsid w:val="00C76108"/>
    <w:rsid w:val="00C8127A"/>
    <w:rsid w:val="00C81405"/>
    <w:rsid w:val="00C83D40"/>
    <w:rsid w:val="00C849DD"/>
    <w:rsid w:val="00C86133"/>
    <w:rsid w:val="00C862C1"/>
    <w:rsid w:val="00C862E8"/>
    <w:rsid w:val="00C87F4C"/>
    <w:rsid w:val="00C912C7"/>
    <w:rsid w:val="00C92136"/>
    <w:rsid w:val="00C9239C"/>
    <w:rsid w:val="00C92888"/>
    <w:rsid w:val="00C935C1"/>
    <w:rsid w:val="00C94C19"/>
    <w:rsid w:val="00C94F9E"/>
    <w:rsid w:val="00C95726"/>
    <w:rsid w:val="00C9610B"/>
    <w:rsid w:val="00C97363"/>
    <w:rsid w:val="00C97CD0"/>
    <w:rsid w:val="00CA0CBF"/>
    <w:rsid w:val="00CA2593"/>
    <w:rsid w:val="00CA26C4"/>
    <w:rsid w:val="00CA42AE"/>
    <w:rsid w:val="00CA5124"/>
    <w:rsid w:val="00CA5645"/>
    <w:rsid w:val="00CB213F"/>
    <w:rsid w:val="00CB269F"/>
    <w:rsid w:val="00CB2B74"/>
    <w:rsid w:val="00CB31E1"/>
    <w:rsid w:val="00CB3B06"/>
    <w:rsid w:val="00CB6CE3"/>
    <w:rsid w:val="00CC08A0"/>
    <w:rsid w:val="00CC1237"/>
    <w:rsid w:val="00CC1491"/>
    <w:rsid w:val="00CC209F"/>
    <w:rsid w:val="00CC6E79"/>
    <w:rsid w:val="00CC7D1A"/>
    <w:rsid w:val="00CD10FF"/>
    <w:rsid w:val="00CD2786"/>
    <w:rsid w:val="00CD436E"/>
    <w:rsid w:val="00CE0792"/>
    <w:rsid w:val="00CE141B"/>
    <w:rsid w:val="00CE3805"/>
    <w:rsid w:val="00CE4CB7"/>
    <w:rsid w:val="00CE64F5"/>
    <w:rsid w:val="00CF08B9"/>
    <w:rsid w:val="00CF0E02"/>
    <w:rsid w:val="00CF0E67"/>
    <w:rsid w:val="00CF10A0"/>
    <w:rsid w:val="00CF4B5F"/>
    <w:rsid w:val="00CF6222"/>
    <w:rsid w:val="00CF6940"/>
    <w:rsid w:val="00D01B91"/>
    <w:rsid w:val="00D01CC8"/>
    <w:rsid w:val="00D027C0"/>
    <w:rsid w:val="00D02C4F"/>
    <w:rsid w:val="00D05044"/>
    <w:rsid w:val="00D0515A"/>
    <w:rsid w:val="00D05260"/>
    <w:rsid w:val="00D0561A"/>
    <w:rsid w:val="00D078A3"/>
    <w:rsid w:val="00D07A41"/>
    <w:rsid w:val="00D10A86"/>
    <w:rsid w:val="00D11983"/>
    <w:rsid w:val="00D13062"/>
    <w:rsid w:val="00D13E29"/>
    <w:rsid w:val="00D15700"/>
    <w:rsid w:val="00D15730"/>
    <w:rsid w:val="00D16949"/>
    <w:rsid w:val="00D20015"/>
    <w:rsid w:val="00D203FA"/>
    <w:rsid w:val="00D20C97"/>
    <w:rsid w:val="00D225F5"/>
    <w:rsid w:val="00D25434"/>
    <w:rsid w:val="00D25B65"/>
    <w:rsid w:val="00D26038"/>
    <w:rsid w:val="00D26371"/>
    <w:rsid w:val="00D266EA"/>
    <w:rsid w:val="00D325AF"/>
    <w:rsid w:val="00D33BE7"/>
    <w:rsid w:val="00D3531A"/>
    <w:rsid w:val="00D36A9B"/>
    <w:rsid w:val="00D41B3A"/>
    <w:rsid w:val="00D434D1"/>
    <w:rsid w:val="00D443A5"/>
    <w:rsid w:val="00D44440"/>
    <w:rsid w:val="00D4577A"/>
    <w:rsid w:val="00D45ACA"/>
    <w:rsid w:val="00D476F3"/>
    <w:rsid w:val="00D510FA"/>
    <w:rsid w:val="00D52107"/>
    <w:rsid w:val="00D530E1"/>
    <w:rsid w:val="00D534F9"/>
    <w:rsid w:val="00D54400"/>
    <w:rsid w:val="00D54869"/>
    <w:rsid w:val="00D60467"/>
    <w:rsid w:val="00D61015"/>
    <w:rsid w:val="00D610AF"/>
    <w:rsid w:val="00D623FD"/>
    <w:rsid w:val="00D62F50"/>
    <w:rsid w:val="00D6356B"/>
    <w:rsid w:val="00D63643"/>
    <w:rsid w:val="00D64070"/>
    <w:rsid w:val="00D647A6"/>
    <w:rsid w:val="00D65708"/>
    <w:rsid w:val="00D66B0D"/>
    <w:rsid w:val="00D67218"/>
    <w:rsid w:val="00D72CCF"/>
    <w:rsid w:val="00D72FB2"/>
    <w:rsid w:val="00D7521A"/>
    <w:rsid w:val="00D75857"/>
    <w:rsid w:val="00D81372"/>
    <w:rsid w:val="00D819CC"/>
    <w:rsid w:val="00D81B94"/>
    <w:rsid w:val="00D81EB8"/>
    <w:rsid w:val="00D842A5"/>
    <w:rsid w:val="00D847DC"/>
    <w:rsid w:val="00D84ED9"/>
    <w:rsid w:val="00D92158"/>
    <w:rsid w:val="00D92212"/>
    <w:rsid w:val="00D93FC2"/>
    <w:rsid w:val="00D97644"/>
    <w:rsid w:val="00DA1540"/>
    <w:rsid w:val="00DA165A"/>
    <w:rsid w:val="00DA48D3"/>
    <w:rsid w:val="00DA5C41"/>
    <w:rsid w:val="00DA6405"/>
    <w:rsid w:val="00DA67A6"/>
    <w:rsid w:val="00DA6A97"/>
    <w:rsid w:val="00DA7689"/>
    <w:rsid w:val="00DB2684"/>
    <w:rsid w:val="00DB403C"/>
    <w:rsid w:val="00DB4FB2"/>
    <w:rsid w:val="00DB6EE1"/>
    <w:rsid w:val="00DB7D64"/>
    <w:rsid w:val="00DC2013"/>
    <w:rsid w:val="00DC2704"/>
    <w:rsid w:val="00DC2D49"/>
    <w:rsid w:val="00DC2DCF"/>
    <w:rsid w:val="00DC36D6"/>
    <w:rsid w:val="00DC7114"/>
    <w:rsid w:val="00DC7BB7"/>
    <w:rsid w:val="00DD023E"/>
    <w:rsid w:val="00DD12C6"/>
    <w:rsid w:val="00DD1BC6"/>
    <w:rsid w:val="00DD1DE3"/>
    <w:rsid w:val="00DD1DFA"/>
    <w:rsid w:val="00DD1EC6"/>
    <w:rsid w:val="00DD3645"/>
    <w:rsid w:val="00DD4304"/>
    <w:rsid w:val="00DD4AF9"/>
    <w:rsid w:val="00DD5E74"/>
    <w:rsid w:val="00DD6D47"/>
    <w:rsid w:val="00DD7B8E"/>
    <w:rsid w:val="00DE03A6"/>
    <w:rsid w:val="00DE0F6B"/>
    <w:rsid w:val="00DE15F9"/>
    <w:rsid w:val="00DE2BB4"/>
    <w:rsid w:val="00DE332B"/>
    <w:rsid w:val="00DE3C15"/>
    <w:rsid w:val="00DE51E4"/>
    <w:rsid w:val="00DE5A79"/>
    <w:rsid w:val="00DE6E63"/>
    <w:rsid w:val="00DE7367"/>
    <w:rsid w:val="00DF02A2"/>
    <w:rsid w:val="00DF147B"/>
    <w:rsid w:val="00DF297C"/>
    <w:rsid w:val="00DF29E1"/>
    <w:rsid w:val="00DF3219"/>
    <w:rsid w:val="00DF3A2A"/>
    <w:rsid w:val="00DF4105"/>
    <w:rsid w:val="00DF49DC"/>
    <w:rsid w:val="00DF5219"/>
    <w:rsid w:val="00DF604B"/>
    <w:rsid w:val="00DF7F24"/>
    <w:rsid w:val="00E01FF7"/>
    <w:rsid w:val="00E03149"/>
    <w:rsid w:val="00E031AD"/>
    <w:rsid w:val="00E04CB2"/>
    <w:rsid w:val="00E0558C"/>
    <w:rsid w:val="00E1089A"/>
    <w:rsid w:val="00E1161F"/>
    <w:rsid w:val="00E13A31"/>
    <w:rsid w:val="00E14A85"/>
    <w:rsid w:val="00E16274"/>
    <w:rsid w:val="00E205D1"/>
    <w:rsid w:val="00E219A5"/>
    <w:rsid w:val="00E23C82"/>
    <w:rsid w:val="00E249D2"/>
    <w:rsid w:val="00E25CE6"/>
    <w:rsid w:val="00E25D91"/>
    <w:rsid w:val="00E25F0E"/>
    <w:rsid w:val="00E2714F"/>
    <w:rsid w:val="00E318F1"/>
    <w:rsid w:val="00E3250C"/>
    <w:rsid w:val="00E32987"/>
    <w:rsid w:val="00E365B0"/>
    <w:rsid w:val="00E36674"/>
    <w:rsid w:val="00E374F5"/>
    <w:rsid w:val="00E3795E"/>
    <w:rsid w:val="00E37DAA"/>
    <w:rsid w:val="00E4093E"/>
    <w:rsid w:val="00E416FD"/>
    <w:rsid w:val="00E41DA7"/>
    <w:rsid w:val="00E41E31"/>
    <w:rsid w:val="00E42EA5"/>
    <w:rsid w:val="00E4340A"/>
    <w:rsid w:val="00E43C87"/>
    <w:rsid w:val="00E44279"/>
    <w:rsid w:val="00E442CA"/>
    <w:rsid w:val="00E44FF6"/>
    <w:rsid w:val="00E451CE"/>
    <w:rsid w:val="00E45DF9"/>
    <w:rsid w:val="00E45FA0"/>
    <w:rsid w:val="00E46BFE"/>
    <w:rsid w:val="00E46EEE"/>
    <w:rsid w:val="00E46F76"/>
    <w:rsid w:val="00E4786F"/>
    <w:rsid w:val="00E50C22"/>
    <w:rsid w:val="00E50FD0"/>
    <w:rsid w:val="00E51EF5"/>
    <w:rsid w:val="00E5313A"/>
    <w:rsid w:val="00E53850"/>
    <w:rsid w:val="00E53FCE"/>
    <w:rsid w:val="00E561CB"/>
    <w:rsid w:val="00E6235F"/>
    <w:rsid w:val="00E635EB"/>
    <w:rsid w:val="00E64D52"/>
    <w:rsid w:val="00E7452D"/>
    <w:rsid w:val="00E773BA"/>
    <w:rsid w:val="00E77B89"/>
    <w:rsid w:val="00E80B37"/>
    <w:rsid w:val="00E825B8"/>
    <w:rsid w:val="00E8401D"/>
    <w:rsid w:val="00E84E82"/>
    <w:rsid w:val="00E86EC8"/>
    <w:rsid w:val="00E87454"/>
    <w:rsid w:val="00E90294"/>
    <w:rsid w:val="00E91256"/>
    <w:rsid w:val="00E9487E"/>
    <w:rsid w:val="00EA04BD"/>
    <w:rsid w:val="00EA0D59"/>
    <w:rsid w:val="00EA1A32"/>
    <w:rsid w:val="00EA2007"/>
    <w:rsid w:val="00EA2BCA"/>
    <w:rsid w:val="00EA2FA0"/>
    <w:rsid w:val="00EA460F"/>
    <w:rsid w:val="00EA4AC4"/>
    <w:rsid w:val="00EB0065"/>
    <w:rsid w:val="00EB06AD"/>
    <w:rsid w:val="00EB4729"/>
    <w:rsid w:val="00EB49DF"/>
    <w:rsid w:val="00EB6EBF"/>
    <w:rsid w:val="00EB78FE"/>
    <w:rsid w:val="00EC0FC2"/>
    <w:rsid w:val="00EC1DE5"/>
    <w:rsid w:val="00EC523C"/>
    <w:rsid w:val="00EC7207"/>
    <w:rsid w:val="00ED1153"/>
    <w:rsid w:val="00ED1CDA"/>
    <w:rsid w:val="00ED2AC7"/>
    <w:rsid w:val="00ED6325"/>
    <w:rsid w:val="00EE234F"/>
    <w:rsid w:val="00EE267C"/>
    <w:rsid w:val="00EE3A40"/>
    <w:rsid w:val="00EE45EA"/>
    <w:rsid w:val="00EE4778"/>
    <w:rsid w:val="00EE4CB6"/>
    <w:rsid w:val="00EE7A56"/>
    <w:rsid w:val="00EF030A"/>
    <w:rsid w:val="00EF1905"/>
    <w:rsid w:val="00EF5F9E"/>
    <w:rsid w:val="00F026FB"/>
    <w:rsid w:val="00F029B2"/>
    <w:rsid w:val="00F06131"/>
    <w:rsid w:val="00F07071"/>
    <w:rsid w:val="00F076D4"/>
    <w:rsid w:val="00F11A1F"/>
    <w:rsid w:val="00F121FF"/>
    <w:rsid w:val="00F13D1D"/>
    <w:rsid w:val="00F140A6"/>
    <w:rsid w:val="00F146DA"/>
    <w:rsid w:val="00F16FD1"/>
    <w:rsid w:val="00F20FAB"/>
    <w:rsid w:val="00F232A2"/>
    <w:rsid w:val="00F237F5"/>
    <w:rsid w:val="00F24FF5"/>
    <w:rsid w:val="00F262C5"/>
    <w:rsid w:val="00F320C8"/>
    <w:rsid w:val="00F33920"/>
    <w:rsid w:val="00F3628E"/>
    <w:rsid w:val="00F36678"/>
    <w:rsid w:val="00F41788"/>
    <w:rsid w:val="00F426AE"/>
    <w:rsid w:val="00F42CAD"/>
    <w:rsid w:val="00F46A95"/>
    <w:rsid w:val="00F47284"/>
    <w:rsid w:val="00F50537"/>
    <w:rsid w:val="00F51FA7"/>
    <w:rsid w:val="00F52492"/>
    <w:rsid w:val="00F531D3"/>
    <w:rsid w:val="00F54F65"/>
    <w:rsid w:val="00F6085C"/>
    <w:rsid w:val="00F614A0"/>
    <w:rsid w:val="00F616CC"/>
    <w:rsid w:val="00F61A11"/>
    <w:rsid w:val="00F62238"/>
    <w:rsid w:val="00F64484"/>
    <w:rsid w:val="00F64DBC"/>
    <w:rsid w:val="00F658F7"/>
    <w:rsid w:val="00F702BA"/>
    <w:rsid w:val="00F72951"/>
    <w:rsid w:val="00F736ED"/>
    <w:rsid w:val="00F7423E"/>
    <w:rsid w:val="00F74294"/>
    <w:rsid w:val="00F742E8"/>
    <w:rsid w:val="00F7468D"/>
    <w:rsid w:val="00F76BAA"/>
    <w:rsid w:val="00F770F6"/>
    <w:rsid w:val="00F77578"/>
    <w:rsid w:val="00F82548"/>
    <w:rsid w:val="00F8460F"/>
    <w:rsid w:val="00F86B25"/>
    <w:rsid w:val="00F86BA2"/>
    <w:rsid w:val="00F879A0"/>
    <w:rsid w:val="00F90819"/>
    <w:rsid w:val="00F90D2F"/>
    <w:rsid w:val="00F92F53"/>
    <w:rsid w:val="00F956F9"/>
    <w:rsid w:val="00F96399"/>
    <w:rsid w:val="00F97A96"/>
    <w:rsid w:val="00FA32CE"/>
    <w:rsid w:val="00FA40FD"/>
    <w:rsid w:val="00FA6645"/>
    <w:rsid w:val="00FA689F"/>
    <w:rsid w:val="00FA72DF"/>
    <w:rsid w:val="00FB03AA"/>
    <w:rsid w:val="00FB0CA1"/>
    <w:rsid w:val="00FB2603"/>
    <w:rsid w:val="00FB3A0D"/>
    <w:rsid w:val="00FB3E14"/>
    <w:rsid w:val="00FB5222"/>
    <w:rsid w:val="00FB6780"/>
    <w:rsid w:val="00FB73BD"/>
    <w:rsid w:val="00FBDCAF"/>
    <w:rsid w:val="00FC0D97"/>
    <w:rsid w:val="00FC24EE"/>
    <w:rsid w:val="00FC2C57"/>
    <w:rsid w:val="00FC546C"/>
    <w:rsid w:val="00FC60FF"/>
    <w:rsid w:val="00FC6DFF"/>
    <w:rsid w:val="00FC74E6"/>
    <w:rsid w:val="00FC7574"/>
    <w:rsid w:val="00FC7DF7"/>
    <w:rsid w:val="00FD0458"/>
    <w:rsid w:val="00FD07E1"/>
    <w:rsid w:val="00FD181D"/>
    <w:rsid w:val="00FD2895"/>
    <w:rsid w:val="00FD2D1E"/>
    <w:rsid w:val="00FD2DB6"/>
    <w:rsid w:val="00FD3D7D"/>
    <w:rsid w:val="00FD4021"/>
    <w:rsid w:val="00FD4CA9"/>
    <w:rsid w:val="00FD6E04"/>
    <w:rsid w:val="00FE27A8"/>
    <w:rsid w:val="00FE469B"/>
    <w:rsid w:val="00FE492E"/>
    <w:rsid w:val="00FE5C4C"/>
    <w:rsid w:val="00FE6D92"/>
    <w:rsid w:val="00FF55F7"/>
    <w:rsid w:val="00FF5A3E"/>
    <w:rsid w:val="00FF7333"/>
    <w:rsid w:val="01136D3C"/>
    <w:rsid w:val="013D0A60"/>
    <w:rsid w:val="01C00168"/>
    <w:rsid w:val="01DCC048"/>
    <w:rsid w:val="023578A8"/>
    <w:rsid w:val="026867EF"/>
    <w:rsid w:val="02B4DEF5"/>
    <w:rsid w:val="02F1C7B6"/>
    <w:rsid w:val="02FAF660"/>
    <w:rsid w:val="02FD639E"/>
    <w:rsid w:val="03107C5F"/>
    <w:rsid w:val="031AAA82"/>
    <w:rsid w:val="03336D3D"/>
    <w:rsid w:val="033B5AA7"/>
    <w:rsid w:val="03560271"/>
    <w:rsid w:val="0371A596"/>
    <w:rsid w:val="03D16311"/>
    <w:rsid w:val="03F1FE6F"/>
    <w:rsid w:val="041068D7"/>
    <w:rsid w:val="04181F6D"/>
    <w:rsid w:val="044BB712"/>
    <w:rsid w:val="046967BC"/>
    <w:rsid w:val="046B5CD6"/>
    <w:rsid w:val="04881BA0"/>
    <w:rsid w:val="04F7A22A"/>
    <w:rsid w:val="0510CA87"/>
    <w:rsid w:val="05278B03"/>
    <w:rsid w:val="0532EA37"/>
    <w:rsid w:val="053B3DC2"/>
    <w:rsid w:val="0587B0C2"/>
    <w:rsid w:val="059E4AF4"/>
    <w:rsid w:val="05B71C75"/>
    <w:rsid w:val="05C7C5EE"/>
    <w:rsid w:val="05D6EAB3"/>
    <w:rsid w:val="05E3396F"/>
    <w:rsid w:val="060B5E40"/>
    <w:rsid w:val="0654FB29"/>
    <w:rsid w:val="0657C529"/>
    <w:rsid w:val="0695576E"/>
    <w:rsid w:val="06ACC96A"/>
    <w:rsid w:val="06CDE9CF"/>
    <w:rsid w:val="06E68BF2"/>
    <w:rsid w:val="07027B32"/>
    <w:rsid w:val="07395044"/>
    <w:rsid w:val="07477221"/>
    <w:rsid w:val="0752AEBF"/>
    <w:rsid w:val="0758DACA"/>
    <w:rsid w:val="0770C779"/>
    <w:rsid w:val="0792D7A9"/>
    <w:rsid w:val="07B76A35"/>
    <w:rsid w:val="07CD5BC5"/>
    <w:rsid w:val="07E09F90"/>
    <w:rsid w:val="080898FB"/>
    <w:rsid w:val="08199D5E"/>
    <w:rsid w:val="0838378B"/>
    <w:rsid w:val="08704A95"/>
    <w:rsid w:val="089BD083"/>
    <w:rsid w:val="08BA9284"/>
    <w:rsid w:val="08C44AFE"/>
    <w:rsid w:val="08C9F50D"/>
    <w:rsid w:val="08EBC361"/>
    <w:rsid w:val="08F910E0"/>
    <w:rsid w:val="09519CEA"/>
    <w:rsid w:val="09767806"/>
    <w:rsid w:val="098F0790"/>
    <w:rsid w:val="09BE3E9B"/>
    <w:rsid w:val="09DD76F2"/>
    <w:rsid w:val="09F5509B"/>
    <w:rsid w:val="09F644D2"/>
    <w:rsid w:val="09F98297"/>
    <w:rsid w:val="0A9D2F4F"/>
    <w:rsid w:val="0AA15A87"/>
    <w:rsid w:val="0AC59A45"/>
    <w:rsid w:val="0ACE1E48"/>
    <w:rsid w:val="0AED7760"/>
    <w:rsid w:val="0B522271"/>
    <w:rsid w:val="0B66E3AE"/>
    <w:rsid w:val="0BAFDC1B"/>
    <w:rsid w:val="0BD61B07"/>
    <w:rsid w:val="0BE9452B"/>
    <w:rsid w:val="0C1095B5"/>
    <w:rsid w:val="0C18506A"/>
    <w:rsid w:val="0C216B9C"/>
    <w:rsid w:val="0C496BCA"/>
    <w:rsid w:val="0C4CB173"/>
    <w:rsid w:val="0CA1D4FC"/>
    <w:rsid w:val="0CABE6B4"/>
    <w:rsid w:val="0CC74E44"/>
    <w:rsid w:val="0CE8C77A"/>
    <w:rsid w:val="0D2F52DC"/>
    <w:rsid w:val="0D3C06A8"/>
    <w:rsid w:val="0D85C188"/>
    <w:rsid w:val="0D962ED8"/>
    <w:rsid w:val="0DA75476"/>
    <w:rsid w:val="0DA83736"/>
    <w:rsid w:val="0DAB0455"/>
    <w:rsid w:val="0DBA602C"/>
    <w:rsid w:val="0DE3001D"/>
    <w:rsid w:val="0DF8A5F8"/>
    <w:rsid w:val="0E06FA11"/>
    <w:rsid w:val="0E25752B"/>
    <w:rsid w:val="0E79235B"/>
    <w:rsid w:val="0E892BBB"/>
    <w:rsid w:val="0E95994D"/>
    <w:rsid w:val="0EEF9C39"/>
    <w:rsid w:val="0F38B7E2"/>
    <w:rsid w:val="0F4F159E"/>
    <w:rsid w:val="0F810C8C"/>
    <w:rsid w:val="0F91EA01"/>
    <w:rsid w:val="0FC8B1AC"/>
    <w:rsid w:val="0FC9D228"/>
    <w:rsid w:val="10167F93"/>
    <w:rsid w:val="103C4409"/>
    <w:rsid w:val="109BF634"/>
    <w:rsid w:val="109D71BA"/>
    <w:rsid w:val="10A03ED9"/>
    <w:rsid w:val="10A69AF1"/>
    <w:rsid w:val="10A955D8"/>
    <w:rsid w:val="10B9FDB3"/>
    <w:rsid w:val="11459834"/>
    <w:rsid w:val="1170525C"/>
    <w:rsid w:val="1187E661"/>
    <w:rsid w:val="11921707"/>
    <w:rsid w:val="11F05677"/>
    <w:rsid w:val="1208B25A"/>
    <w:rsid w:val="121D53F9"/>
    <w:rsid w:val="126FE320"/>
    <w:rsid w:val="1296A1B6"/>
    <w:rsid w:val="12B6D971"/>
    <w:rsid w:val="13111A2A"/>
    <w:rsid w:val="13212935"/>
    <w:rsid w:val="13244EBD"/>
    <w:rsid w:val="13358F70"/>
    <w:rsid w:val="136C821C"/>
    <w:rsid w:val="1376A4EC"/>
    <w:rsid w:val="137A865F"/>
    <w:rsid w:val="137F455D"/>
    <w:rsid w:val="13BE60DE"/>
    <w:rsid w:val="13D5E986"/>
    <w:rsid w:val="143B5552"/>
    <w:rsid w:val="1479F8BC"/>
    <w:rsid w:val="148645FD"/>
    <w:rsid w:val="1490F18E"/>
    <w:rsid w:val="14BF8210"/>
    <w:rsid w:val="14C69F50"/>
    <w:rsid w:val="14C92051"/>
    <w:rsid w:val="14EFB733"/>
    <w:rsid w:val="152011E8"/>
    <w:rsid w:val="152421C9"/>
    <w:rsid w:val="154FDAB4"/>
    <w:rsid w:val="157F8401"/>
    <w:rsid w:val="1588B411"/>
    <w:rsid w:val="158C2A73"/>
    <w:rsid w:val="15D6E43F"/>
    <w:rsid w:val="16005C28"/>
    <w:rsid w:val="16032C85"/>
    <w:rsid w:val="167E986B"/>
    <w:rsid w:val="1693D8F9"/>
    <w:rsid w:val="16A07634"/>
    <w:rsid w:val="16A945E2"/>
    <w:rsid w:val="16AD97D3"/>
    <w:rsid w:val="16BCA81E"/>
    <w:rsid w:val="16CD4BF5"/>
    <w:rsid w:val="16DA4F0B"/>
    <w:rsid w:val="16DEEBF6"/>
    <w:rsid w:val="16F164A2"/>
    <w:rsid w:val="170DA909"/>
    <w:rsid w:val="1718979F"/>
    <w:rsid w:val="1750C5CE"/>
    <w:rsid w:val="177DE929"/>
    <w:rsid w:val="178565CD"/>
    <w:rsid w:val="178C1E71"/>
    <w:rsid w:val="179314CF"/>
    <w:rsid w:val="17989B81"/>
    <w:rsid w:val="179BFC60"/>
    <w:rsid w:val="17B98609"/>
    <w:rsid w:val="17C8A583"/>
    <w:rsid w:val="1820FE39"/>
    <w:rsid w:val="185B6D54"/>
    <w:rsid w:val="185FFFE0"/>
    <w:rsid w:val="1892A490"/>
    <w:rsid w:val="18B2E20B"/>
    <w:rsid w:val="18F442C1"/>
    <w:rsid w:val="191A45C2"/>
    <w:rsid w:val="19740C6C"/>
    <w:rsid w:val="1978562B"/>
    <w:rsid w:val="19A433A0"/>
    <w:rsid w:val="1A0C04E4"/>
    <w:rsid w:val="1A2CEC9C"/>
    <w:rsid w:val="1AA30413"/>
    <w:rsid w:val="1ACF15C4"/>
    <w:rsid w:val="1AEDCC93"/>
    <w:rsid w:val="1AFC05AD"/>
    <w:rsid w:val="1B2B583A"/>
    <w:rsid w:val="1B4AF525"/>
    <w:rsid w:val="1B9F814D"/>
    <w:rsid w:val="1BDF9A46"/>
    <w:rsid w:val="1C30454F"/>
    <w:rsid w:val="1C52BAE2"/>
    <w:rsid w:val="1C6A5D36"/>
    <w:rsid w:val="1CB5DB8A"/>
    <w:rsid w:val="1CC0E698"/>
    <w:rsid w:val="1CD5C429"/>
    <w:rsid w:val="1CDE17AD"/>
    <w:rsid w:val="1D5E0B4F"/>
    <w:rsid w:val="1D8BD532"/>
    <w:rsid w:val="1DCAE5B1"/>
    <w:rsid w:val="1DE18C82"/>
    <w:rsid w:val="1E08E270"/>
    <w:rsid w:val="1E0E030C"/>
    <w:rsid w:val="1E39E58F"/>
    <w:rsid w:val="1E3B285D"/>
    <w:rsid w:val="1E5472A7"/>
    <w:rsid w:val="1E62DC99"/>
    <w:rsid w:val="1E96CB82"/>
    <w:rsid w:val="1EAE31FE"/>
    <w:rsid w:val="1EDE4DEE"/>
    <w:rsid w:val="1EE34A55"/>
    <w:rsid w:val="1F38579C"/>
    <w:rsid w:val="1F3F3409"/>
    <w:rsid w:val="1F474FDB"/>
    <w:rsid w:val="1FCF161A"/>
    <w:rsid w:val="2001D4AB"/>
    <w:rsid w:val="2003A2BE"/>
    <w:rsid w:val="2012536D"/>
    <w:rsid w:val="206AAD1E"/>
    <w:rsid w:val="207A091C"/>
    <w:rsid w:val="20DF96E7"/>
    <w:rsid w:val="2102BD03"/>
    <w:rsid w:val="21080165"/>
    <w:rsid w:val="211C0AF3"/>
    <w:rsid w:val="213799AD"/>
    <w:rsid w:val="2167D537"/>
    <w:rsid w:val="21863FDD"/>
    <w:rsid w:val="21C24B96"/>
    <w:rsid w:val="21F017A9"/>
    <w:rsid w:val="223E6AA0"/>
    <w:rsid w:val="225967C6"/>
    <w:rsid w:val="2265996D"/>
    <w:rsid w:val="226FD741"/>
    <w:rsid w:val="2297D770"/>
    <w:rsid w:val="229E4C35"/>
    <w:rsid w:val="22D22116"/>
    <w:rsid w:val="22DC88AD"/>
    <w:rsid w:val="22DCA3FF"/>
    <w:rsid w:val="22EA01BA"/>
    <w:rsid w:val="22EA658F"/>
    <w:rsid w:val="231F833F"/>
    <w:rsid w:val="232EC5D8"/>
    <w:rsid w:val="2331BBB3"/>
    <w:rsid w:val="233F3761"/>
    <w:rsid w:val="2368D0CF"/>
    <w:rsid w:val="2379266A"/>
    <w:rsid w:val="238F7F72"/>
    <w:rsid w:val="23997C41"/>
    <w:rsid w:val="23B1F520"/>
    <w:rsid w:val="23B8EC7E"/>
    <w:rsid w:val="23BFF967"/>
    <w:rsid w:val="23C383CA"/>
    <w:rsid w:val="23E3D90F"/>
    <w:rsid w:val="23ECBE07"/>
    <w:rsid w:val="2414C35C"/>
    <w:rsid w:val="243AE6DF"/>
    <w:rsid w:val="24436AE2"/>
    <w:rsid w:val="2480919C"/>
    <w:rsid w:val="2493E647"/>
    <w:rsid w:val="24ABE74A"/>
    <w:rsid w:val="24F4D110"/>
    <w:rsid w:val="250109C8"/>
    <w:rsid w:val="25617744"/>
    <w:rsid w:val="257593D0"/>
    <w:rsid w:val="25A3C571"/>
    <w:rsid w:val="25C71000"/>
    <w:rsid w:val="25D479CF"/>
    <w:rsid w:val="25D6F40C"/>
    <w:rsid w:val="25F162E9"/>
    <w:rsid w:val="261BCD7A"/>
    <w:rsid w:val="269D019C"/>
    <w:rsid w:val="26CA47E5"/>
    <w:rsid w:val="26D4E53A"/>
    <w:rsid w:val="26D73ADB"/>
    <w:rsid w:val="27463B0E"/>
    <w:rsid w:val="27493955"/>
    <w:rsid w:val="277D414B"/>
    <w:rsid w:val="279A54B5"/>
    <w:rsid w:val="27A6758F"/>
    <w:rsid w:val="27B8977F"/>
    <w:rsid w:val="27C09058"/>
    <w:rsid w:val="27C20BA5"/>
    <w:rsid w:val="2810B02A"/>
    <w:rsid w:val="2824162C"/>
    <w:rsid w:val="287DDE5F"/>
    <w:rsid w:val="287EBBB0"/>
    <w:rsid w:val="28831456"/>
    <w:rsid w:val="2890C98A"/>
    <w:rsid w:val="28957CA5"/>
    <w:rsid w:val="28B2BD35"/>
    <w:rsid w:val="2923B41D"/>
    <w:rsid w:val="293667EE"/>
    <w:rsid w:val="293C675F"/>
    <w:rsid w:val="295ED2E4"/>
    <w:rsid w:val="29847043"/>
    <w:rsid w:val="29B0A0A6"/>
    <w:rsid w:val="29DCF039"/>
    <w:rsid w:val="29DD1430"/>
    <w:rsid w:val="29E76225"/>
    <w:rsid w:val="29F111F4"/>
    <w:rsid w:val="2A135C06"/>
    <w:rsid w:val="2A158B73"/>
    <w:rsid w:val="2A26AF93"/>
    <w:rsid w:val="2A2FD67B"/>
    <w:rsid w:val="2A47768B"/>
    <w:rsid w:val="2A4D5477"/>
    <w:rsid w:val="2A5B87E2"/>
    <w:rsid w:val="2B29E49F"/>
    <w:rsid w:val="2B47BCB4"/>
    <w:rsid w:val="2BA8B36A"/>
    <w:rsid w:val="2BAB34B6"/>
    <w:rsid w:val="2BBFF110"/>
    <w:rsid w:val="2BC7F380"/>
    <w:rsid w:val="2C3637FB"/>
    <w:rsid w:val="2C3DD968"/>
    <w:rsid w:val="2C465D6B"/>
    <w:rsid w:val="2C5C8B01"/>
    <w:rsid w:val="2CA61AE6"/>
    <w:rsid w:val="2CBD7D5E"/>
    <w:rsid w:val="2CDA274F"/>
    <w:rsid w:val="2CE4214D"/>
    <w:rsid w:val="2D025D6C"/>
    <w:rsid w:val="2D207DE3"/>
    <w:rsid w:val="2D4047FF"/>
    <w:rsid w:val="2D6598A7"/>
    <w:rsid w:val="2D6C48DF"/>
    <w:rsid w:val="2D95CAED"/>
    <w:rsid w:val="2D9D5D9D"/>
    <w:rsid w:val="2DA4729B"/>
    <w:rsid w:val="2DB18E07"/>
    <w:rsid w:val="2DFC49F2"/>
    <w:rsid w:val="2E099639"/>
    <w:rsid w:val="2E0B74B1"/>
    <w:rsid w:val="2E26D9AE"/>
    <w:rsid w:val="2E51E5B1"/>
    <w:rsid w:val="2E9D79E2"/>
    <w:rsid w:val="2EBD8B40"/>
    <w:rsid w:val="2EC6AE26"/>
    <w:rsid w:val="2ED2F5F8"/>
    <w:rsid w:val="2ED7CD27"/>
    <w:rsid w:val="2EEC1E55"/>
    <w:rsid w:val="2EF8C681"/>
    <w:rsid w:val="2EFE00AB"/>
    <w:rsid w:val="2F0EE4A7"/>
    <w:rsid w:val="2F16F637"/>
    <w:rsid w:val="2F266BA1"/>
    <w:rsid w:val="2F38EBF3"/>
    <w:rsid w:val="2F4F9FE5"/>
    <w:rsid w:val="2F55E8E9"/>
    <w:rsid w:val="2FE7A247"/>
    <w:rsid w:val="3016C9FD"/>
    <w:rsid w:val="3039E1BB"/>
    <w:rsid w:val="303F01AA"/>
    <w:rsid w:val="304E1C82"/>
    <w:rsid w:val="3065D60F"/>
    <w:rsid w:val="307AE733"/>
    <w:rsid w:val="30BC14E4"/>
    <w:rsid w:val="30D0BCA0"/>
    <w:rsid w:val="311246AA"/>
    <w:rsid w:val="313392A7"/>
    <w:rsid w:val="31492481"/>
    <w:rsid w:val="314D5858"/>
    <w:rsid w:val="316066D0"/>
    <w:rsid w:val="31A5690F"/>
    <w:rsid w:val="31A88B81"/>
    <w:rsid w:val="31D0B9EE"/>
    <w:rsid w:val="3203CD03"/>
    <w:rsid w:val="324DFF81"/>
    <w:rsid w:val="3292FC9A"/>
    <w:rsid w:val="32CA0200"/>
    <w:rsid w:val="3342C255"/>
    <w:rsid w:val="3366D4F6"/>
    <w:rsid w:val="339E9C62"/>
    <w:rsid w:val="33AB46D9"/>
    <w:rsid w:val="33D2A0BE"/>
    <w:rsid w:val="33FA4277"/>
    <w:rsid w:val="34003BC6"/>
    <w:rsid w:val="34072624"/>
    <w:rsid w:val="34666E8E"/>
    <w:rsid w:val="34679CE6"/>
    <w:rsid w:val="3472E44D"/>
    <w:rsid w:val="34934C5D"/>
    <w:rsid w:val="349DBC4D"/>
    <w:rsid w:val="34A90D6F"/>
    <w:rsid w:val="34AA8211"/>
    <w:rsid w:val="34AF6E4D"/>
    <w:rsid w:val="34D68861"/>
    <w:rsid w:val="34DCF706"/>
    <w:rsid w:val="34E80BD8"/>
    <w:rsid w:val="34EB65EE"/>
    <w:rsid w:val="35345A35"/>
    <w:rsid w:val="355990FC"/>
    <w:rsid w:val="3559CD78"/>
    <w:rsid w:val="356C6E49"/>
    <w:rsid w:val="35C1F927"/>
    <w:rsid w:val="35CCF512"/>
    <w:rsid w:val="35F61F40"/>
    <w:rsid w:val="35F8CAFE"/>
    <w:rsid w:val="361C6B7F"/>
    <w:rsid w:val="366C7532"/>
    <w:rsid w:val="3686CABA"/>
    <w:rsid w:val="36941F2A"/>
    <w:rsid w:val="369424ED"/>
    <w:rsid w:val="36DBF732"/>
    <w:rsid w:val="36F22B68"/>
    <w:rsid w:val="37165253"/>
    <w:rsid w:val="371A9B82"/>
    <w:rsid w:val="378B0F1E"/>
    <w:rsid w:val="37BD923A"/>
    <w:rsid w:val="37D85C04"/>
    <w:rsid w:val="3825D6F6"/>
    <w:rsid w:val="38409D82"/>
    <w:rsid w:val="38449653"/>
    <w:rsid w:val="38993E1C"/>
    <w:rsid w:val="389F1760"/>
    <w:rsid w:val="38BE3E1F"/>
    <w:rsid w:val="38D9A99C"/>
    <w:rsid w:val="38DB7FFB"/>
    <w:rsid w:val="391FC107"/>
    <w:rsid w:val="3932FAC6"/>
    <w:rsid w:val="39400ECA"/>
    <w:rsid w:val="3941FC85"/>
    <w:rsid w:val="397A9215"/>
    <w:rsid w:val="398E6D19"/>
    <w:rsid w:val="39AAA804"/>
    <w:rsid w:val="39E58C82"/>
    <w:rsid w:val="3A21D7ED"/>
    <w:rsid w:val="3A2AF352"/>
    <w:rsid w:val="3A3B24A7"/>
    <w:rsid w:val="3A8F2E82"/>
    <w:rsid w:val="3A98DE51"/>
    <w:rsid w:val="3AD12CF5"/>
    <w:rsid w:val="3B1623E4"/>
    <w:rsid w:val="3B33FF47"/>
    <w:rsid w:val="3B449AF5"/>
    <w:rsid w:val="3B4F73B9"/>
    <w:rsid w:val="3B6C22D9"/>
    <w:rsid w:val="3B9A5DA9"/>
    <w:rsid w:val="3BF54769"/>
    <w:rsid w:val="3BFF8D9B"/>
    <w:rsid w:val="3C7A0ACB"/>
    <w:rsid w:val="3C81E4AD"/>
    <w:rsid w:val="3C8370A5"/>
    <w:rsid w:val="3CB5801A"/>
    <w:rsid w:val="3CEC583A"/>
    <w:rsid w:val="3D08F054"/>
    <w:rsid w:val="3D7D6FB5"/>
    <w:rsid w:val="3D8AF0AC"/>
    <w:rsid w:val="3D8FB04E"/>
    <w:rsid w:val="3D9B5725"/>
    <w:rsid w:val="3DA592DB"/>
    <w:rsid w:val="3DC3B913"/>
    <w:rsid w:val="3DC51B41"/>
    <w:rsid w:val="3E166CB2"/>
    <w:rsid w:val="3E2D4F87"/>
    <w:rsid w:val="3E30CFCD"/>
    <w:rsid w:val="3E5C2502"/>
    <w:rsid w:val="3E65269B"/>
    <w:rsid w:val="3E7D6E41"/>
    <w:rsid w:val="3EA262D5"/>
    <w:rsid w:val="3EC31316"/>
    <w:rsid w:val="3EF2DE4D"/>
    <w:rsid w:val="3F01189E"/>
    <w:rsid w:val="3F04DA3E"/>
    <w:rsid w:val="3F14D4B6"/>
    <w:rsid w:val="3F47BC30"/>
    <w:rsid w:val="3F53DAF2"/>
    <w:rsid w:val="3F847548"/>
    <w:rsid w:val="3FBB03EE"/>
    <w:rsid w:val="3FC7413E"/>
    <w:rsid w:val="3FFACFDE"/>
    <w:rsid w:val="401F495D"/>
    <w:rsid w:val="402D6338"/>
    <w:rsid w:val="4042D246"/>
    <w:rsid w:val="40618369"/>
    <w:rsid w:val="4084EA23"/>
    <w:rsid w:val="409B25C3"/>
    <w:rsid w:val="40FDAF46"/>
    <w:rsid w:val="41442D1F"/>
    <w:rsid w:val="41461FEE"/>
    <w:rsid w:val="415B2A6D"/>
    <w:rsid w:val="4189240E"/>
    <w:rsid w:val="41947530"/>
    <w:rsid w:val="421263B9"/>
    <w:rsid w:val="423BAF3B"/>
    <w:rsid w:val="424A724E"/>
    <w:rsid w:val="42A850D0"/>
    <w:rsid w:val="42AD70DB"/>
    <w:rsid w:val="42C997AA"/>
    <w:rsid w:val="42D43490"/>
    <w:rsid w:val="42DB2CC6"/>
    <w:rsid w:val="43154D2F"/>
    <w:rsid w:val="43392AFE"/>
    <w:rsid w:val="43423109"/>
    <w:rsid w:val="4346FC63"/>
    <w:rsid w:val="434F4833"/>
    <w:rsid w:val="4376C8A9"/>
    <w:rsid w:val="437EDC42"/>
    <w:rsid w:val="43A30012"/>
    <w:rsid w:val="43BCC325"/>
    <w:rsid w:val="43CFFD94"/>
    <w:rsid w:val="43D3C073"/>
    <w:rsid w:val="44442131"/>
    <w:rsid w:val="444CC1B3"/>
    <w:rsid w:val="446AB1CC"/>
    <w:rsid w:val="4496E90D"/>
    <w:rsid w:val="44CC2EBB"/>
    <w:rsid w:val="44F34FF9"/>
    <w:rsid w:val="44F4B2BE"/>
    <w:rsid w:val="451D2C59"/>
    <w:rsid w:val="4530298B"/>
    <w:rsid w:val="4538AD8E"/>
    <w:rsid w:val="453900FC"/>
    <w:rsid w:val="4572EB56"/>
    <w:rsid w:val="45852C61"/>
    <w:rsid w:val="459AF835"/>
    <w:rsid w:val="459BE133"/>
    <w:rsid w:val="45A9A5E0"/>
    <w:rsid w:val="45A9D478"/>
    <w:rsid w:val="45DFD7A6"/>
    <w:rsid w:val="463C17C1"/>
    <w:rsid w:val="464C1E39"/>
    <w:rsid w:val="46503C38"/>
    <w:rsid w:val="468B26CD"/>
    <w:rsid w:val="46D2D050"/>
    <w:rsid w:val="46E9502E"/>
    <w:rsid w:val="46F2359A"/>
    <w:rsid w:val="472FD04E"/>
    <w:rsid w:val="473F4F23"/>
    <w:rsid w:val="474B6DF9"/>
    <w:rsid w:val="476E0ED4"/>
    <w:rsid w:val="481FD3F1"/>
    <w:rsid w:val="4862EED3"/>
    <w:rsid w:val="4870BA52"/>
    <w:rsid w:val="488801E6"/>
    <w:rsid w:val="48A7D3F0"/>
    <w:rsid w:val="48D9A4B6"/>
    <w:rsid w:val="4994F9D2"/>
    <w:rsid w:val="499F5106"/>
    <w:rsid w:val="49BADB04"/>
    <w:rsid w:val="4A1149B0"/>
    <w:rsid w:val="4A15D1A4"/>
    <w:rsid w:val="4A2BC193"/>
    <w:rsid w:val="4A31944F"/>
    <w:rsid w:val="4A69E48B"/>
    <w:rsid w:val="4A735B77"/>
    <w:rsid w:val="4A8B54E4"/>
    <w:rsid w:val="4A921B18"/>
    <w:rsid w:val="4A9EB853"/>
    <w:rsid w:val="4AD53DC9"/>
    <w:rsid w:val="4B014DC4"/>
    <w:rsid w:val="4B1EBC5F"/>
    <w:rsid w:val="4B2C47AE"/>
    <w:rsid w:val="4B599FC2"/>
    <w:rsid w:val="4B760477"/>
    <w:rsid w:val="4BB03D06"/>
    <w:rsid w:val="4BB661F3"/>
    <w:rsid w:val="4BC79CCA"/>
    <w:rsid w:val="4BCF8A50"/>
    <w:rsid w:val="4C555F16"/>
    <w:rsid w:val="4C6CBB4A"/>
    <w:rsid w:val="4C799EBB"/>
    <w:rsid w:val="4C87D7D5"/>
    <w:rsid w:val="4C887DF5"/>
    <w:rsid w:val="4CAF32A9"/>
    <w:rsid w:val="4CC9ABA6"/>
    <w:rsid w:val="4D2B615F"/>
    <w:rsid w:val="4D689D99"/>
    <w:rsid w:val="4D723757"/>
    <w:rsid w:val="4DA3E195"/>
    <w:rsid w:val="4DF8F282"/>
    <w:rsid w:val="4E0B4E32"/>
    <w:rsid w:val="4E0BD938"/>
    <w:rsid w:val="4E23479F"/>
    <w:rsid w:val="4E345123"/>
    <w:rsid w:val="4E5B9643"/>
    <w:rsid w:val="4EC3D7C1"/>
    <w:rsid w:val="4EDB51AB"/>
    <w:rsid w:val="4EE4F81C"/>
    <w:rsid w:val="4EE5A606"/>
    <w:rsid w:val="4EE7FE64"/>
    <w:rsid w:val="4EE87979"/>
    <w:rsid w:val="4EF5BB7F"/>
    <w:rsid w:val="4EF838CA"/>
    <w:rsid w:val="4EFF3D8C"/>
    <w:rsid w:val="4F1EF71D"/>
    <w:rsid w:val="4F439EF1"/>
    <w:rsid w:val="4F583933"/>
    <w:rsid w:val="4F65BF0C"/>
    <w:rsid w:val="4F8D9711"/>
    <w:rsid w:val="4F94361D"/>
    <w:rsid w:val="4FD5C1D9"/>
    <w:rsid w:val="4FDA7928"/>
    <w:rsid w:val="5001532C"/>
    <w:rsid w:val="50206912"/>
    <w:rsid w:val="5031083E"/>
    <w:rsid w:val="509DAEA5"/>
    <w:rsid w:val="509EAAC4"/>
    <w:rsid w:val="50A3985A"/>
    <w:rsid w:val="50ABE977"/>
    <w:rsid w:val="50CB9A3C"/>
    <w:rsid w:val="50E67C84"/>
    <w:rsid w:val="51493E5C"/>
    <w:rsid w:val="5155815E"/>
    <w:rsid w:val="517719A9"/>
    <w:rsid w:val="51F252F3"/>
    <w:rsid w:val="51F4430F"/>
    <w:rsid w:val="51F64E7F"/>
    <w:rsid w:val="524B4DE4"/>
    <w:rsid w:val="524E4274"/>
    <w:rsid w:val="527881A8"/>
    <w:rsid w:val="5278BED0"/>
    <w:rsid w:val="5279D54D"/>
    <w:rsid w:val="527D294A"/>
    <w:rsid w:val="528FD9F5"/>
    <w:rsid w:val="52924082"/>
    <w:rsid w:val="52A1B5EC"/>
    <w:rsid w:val="5333536F"/>
    <w:rsid w:val="534C77EF"/>
    <w:rsid w:val="538B3FDA"/>
    <w:rsid w:val="54279AC6"/>
    <w:rsid w:val="546729D0"/>
    <w:rsid w:val="54A3484E"/>
    <w:rsid w:val="54CCD100"/>
    <w:rsid w:val="54E9B78B"/>
    <w:rsid w:val="54F60544"/>
    <w:rsid w:val="5522CFF5"/>
    <w:rsid w:val="55464D55"/>
    <w:rsid w:val="55530B2A"/>
    <w:rsid w:val="556292B2"/>
    <w:rsid w:val="55C7845F"/>
    <w:rsid w:val="56190A50"/>
    <w:rsid w:val="561D6C65"/>
    <w:rsid w:val="5661030F"/>
    <w:rsid w:val="56680D0D"/>
    <w:rsid w:val="5675655E"/>
    <w:rsid w:val="56769074"/>
    <w:rsid w:val="569EE21F"/>
    <w:rsid w:val="57072EAD"/>
    <w:rsid w:val="57376FC0"/>
    <w:rsid w:val="5764E857"/>
    <w:rsid w:val="5781A721"/>
    <w:rsid w:val="58222872"/>
    <w:rsid w:val="58735FEF"/>
    <w:rsid w:val="588A714D"/>
    <w:rsid w:val="58A0A12E"/>
    <w:rsid w:val="58F6D2F4"/>
    <w:rsid w:val="594C321F"/>
    <w:rsid w:val="599495F7"/>
    <w:rsid w:val="59E865E3"/>
    <w:rsid w:val="59EA7BDF"/>
    <w:rsid w:val="59EF8AE6"/>
    <w:rsid w:val="59F94108"/>
    <w:rsid w:val="5A0820D8"/>
    <w:rsid w:val="5A1509DB"/>
    <w:rsid w:val="5A159419"/>
    <w:rsid w:val="5A23716B"/>
    <w:rsid w:val="5A4D4AE3"/>
    <w:rsid w:val="5A5B1890"/>
    <w:rsid w:val="5A617152"/>
    <w:rsid w:val="5ACAB152"/>
    <w:rsid w:val="5AD1118B"/>
    <w:rsid w:val="5AD369E1"/>
    <w:rsid w:val="5AF4F086"/>
    <w:rsid w:val="5B06F84A"/>
    <w:rsid w:val="5BBFED71"/>
    <w:rsid w:val="5BC37E05"/>
    <w:rsid w:val="5BCA0409"/>
    <w:rsid w:val="5BE296ED"/>
    <w:rsid w:val="5BF3B580"/>
    <w:rsid w:val="5C271552"/>
    <w:rsid w:val="5C2BBFA3"/>
    <w:rsid w:val="5C305681"/>
    <w:rsid w:val="5C5126CD"/>
    <w:rsid w:val="5C55B316"/>
    <w:rsid w:val="5C56D1C2"/>
    <w:rsid w:val="5C71D2D5"/>
    <w:rsid w:val="5C91674B"/>
    <w:rsid w:val="5C97974B"/>
    <w:rsid w:val="5CA75893"/>
    <w:rsid w:val="5CB3EF00"/>
    <w:rsid w:val="5CC448F1"/>
    <w:rsid w:val="5CC4A4C0"/>
    <w:rsid w:val="5D071B97"/>
    <w:rsid w:val="5D30096F"/>
    <w:rsid w:val="5D43128B"/>
    <w:rsid w:val="5D754141"/>
    <w:rsid w:val="5D817E7B"/>
    <w:rsid w:val="5D831804"/>
    <w:rsid w:val="5E3CABE0"/>
    <w:rsid w:val="5E552E14"/>
    <w:rsid w:val="5E5DB217"/>
    <w:rsid w:val="5E7C876C"/>
    <w:rsid w:val="5EC52A47"/>
    <w:rsid w:val="5EE6DCD6"/>
    <w:rsid w:val="5EF54CD5"/>
    <w:rsid w:val="5F156156"/>
    <w:rsid w:val="5F1D4EDC"/>
    <w:rsid w:val="5F22E3F1"/>
    <w:rsid w:val="5F230EB0"/>
    <w:rsid w:val="5F34EC9A"/>
    <w:rsid w:val="5F458242"/>
    <w:rsid w:val="5F531582"/>
    <w:rsid w:val="5F5534A0"/>
    <w:rsid w:val="5F834F20"/>
    <w:rsid w:val="5F9C6046"/>
    <w:rsid w:val="5FA02984"/>
    <w:rsid w:val="5FA0868D"/>
    <w:rsid w:val="60249DD6"/>
    <w:rsid w:val="602F2BD0"/>
    <w:rsid w:val="607B0464"/>
    <w:rsid w:val="607F4D09"/>
    <w:rsid w:val="60AAF73E"/>
    <w:rsid w:val="60B4CE8E"/>
    <w:rsid w:val="60BD3984"/>
    <w:rsid w:val="60C1EE35"/>
    <w:rsid w:val="60C347D9"/>
    <w:rsid w:val="60D21138"/>
    <w:rsid w:val="60D9153C"/>
    <w:rsid w:val="61002195"/>
    <w:rsid w:val="61321F48"/>
    <w:rsid w:val="614169C8"/>
    <w:rsid w:val="614FC472"/>
    <w:rsid w:val="617341D2"/>
    <w:rsid w:val="6182A40C"/>
    <w:rsid w:val="61893796"/>
    <w:rsid w:val="618C375E"/>
    <w:rsid w:val="61925B4A"/>
    <w:rsid w:val="619B79F7"/>
    <w:rsid w:val="61A251B3"/>
    <w:rsid w:val="61F1C796"/>
    <w:rsid w:val="62923BDF"/>
    <w:rsid w:val="62BE332D"/>
    <w:rsid w:val="62CE6978"/>
    <w:rsid w:val="62E94A91"/>
    <w:rsid w:val="62F7E30F"/>
    <w:rsid w:val="6369A4AF"/>
    <w:rsid w:val="63715F64"/>
    <w:rsid w:val="63A9A8EF"/>
    <w:rsid w:val="63BB43E9"/>
    <w:rsid w:val="63D797A2"/>
    <w:rsid w:val="63E8D279"/>
    <w:rsid w:val="641346AF"/>
    <w:rsid w:val="643E0F0D"/>
    <w:rsid w:val="643F3798"/>
    <w:rsid w:val="6471FC78"/>
    <w:rsid w:val="648E9243"/>
    <w:rsid w:val="64BC9B7F"/>
    <w:rsid w:val="65068D92"/>
    <w:rsid w:val="650D9790"/>
    <w:rsid w:val="653498CC"/>
    <w:rsid w:val="654A8925"/>
    <w:rsid w:val="65530C65"/>
    <w:rsid w:val="6558FD18"/>
    <w:rsid w:val="6565EE03"/>
    <w:rsid w:val="6567C241"/>
    <w:rsid w:val="65699939"/>
    <w:rsid w:val="65856A09"/>
    <w:rsid w:val="658E8818"/>
    <w:rsid w:val="6594548C"/>
    <w:rsid w:val="65CD6971"/>
    <w:rsid w:val="65FF86E2"/>
    <w:rsid w:val="663EF840"/>
    <w:rsid w:val="666371BF"/>
    <w:rsid w:val="66676336"/>
    <w:rsid w:val="667A3F60"/>
    <w:rsid w:val="66C0CE1C"/>
    <w:rsid w:val="670F3864"/>
    <w:rsid w:val="671762CC"/>
    <w:rsid w:val="6725D67A"/>
    <w:rsid w:val="6732D3FC"/>
    <w:rsid w:val="67419925"/>
    <w:rsid w:val="677ED55F"/>
    <w:rsid w:val="6790B5E1"/>
    <w:rsid w:val="67928060"/>
    <w:rsid w:val="679F85A0"/>
    <w:rsid w:val="67B719EE"/>
    <w:rsid w:val="67C34AE5"/>
    <w:rsid w:val="67D95DC6"/>
    <w:rsid w:val="67ED0092"/>
    <w:rsid w:val="6821088A"/>
    <w:rsid w:val="6845FF6A"/>
    <w:rsid w:val="686F941C"/>
    <w:rsid w:val="6894C369"/>
    <w:rsid w:val="689EAE71"/>
    <w:rsid w:val="68B5A47C"/>
    <w:rsid w:val="68B7C117"/>
    <w:rsid w:val="6937FC02"/>
    <w:rsid w:val="694E79A6"/>
    <w:rsid w:val="6986AB66"/>
    <w:rsid w:val="699FB5B1"/>
    <w:rsid w:val="69A7E964"/>
    <w:rsid w:val="69C64199"/>
    <w:rsid w:val="69EFD9D9"/>
    <w:rsid w:val="6A12D6E2"/>
    <w:rsid w:val="6A2200F2"/>
    <w:rsid w:val="6A347421"/>
    <w:rsid w:val="6A359E4F"/>
    <w:rsid w:val="6A444BA1"/>
    <w:rsid w:val="6A570B43"/>
    <w:rsid w:val="6A64115F"/>
    <w:rsid w:val="6A659698"/>
    <w:rsid w:val="6A91652A"/>
    <w:rsid w:val="6AD35F23"/>
    <w:rsid w:val="6AE8E091"/>
    <w:rsid w:val="6AF9D979"/>
    <w:rsid w:val="6B0DD9FB"/>
    <w:rsid w:val="6B2380C2"/>
    <w:rsid w:val="6B32047E"/>
    <w:rsid w:val="6B614616"/>
    <w:rsid w:val="6BC5C683"/>
    <w:rsid w:val="6C260CF5"/>
    <w:rsid w:val="6C31C912"/>
    <w:rsid w:val="6C3B3A12"/>
    <w:rsid w:val="6C64B049"/>
    <w:rsid w:val="6C662A1B"/>
    <w:rsid w:val="6CA01F63"/>
    <w:rsid w:val="6CC4698B"/>
    <w:rsid w:val="6CD66C7A"/>
    <w:rsid w:val="6D1844CE"/>
    <w:rsid w:val="6D224C87"/>
    <w:rsid w:val="6D31B3D4"/>
    <w:rsid w:val="6D365DFC"/>
    <w:rsid w:val="6D5BEFA1"/>
    <w:rsid w:val="6DF9903E"/>
    <w:rsid w:val="6E35E513"/>
    <w:rsid w:val="6E5FCCE2"/>
    <w:rsid w:val="6E60C564"/>
    <w:rsid w:val="6E7E5DB5"/>
    <w:rsid w:val="6E7EE678"/>
    <w:rsid w:val="6EB5A169"/>
    <w:rsid w:val="6EC8423A"/>
    <w:rsid w:val="6EF5A662"/>
    <w:rsid w:val="6EF79316"/>
    <w:rsid w:val="6EFF94BF"/>
    <w:rsid w:val="6F75A1D1"/>
    <w:rsid w:val="6FDA286E"/>
    <w:rsid w:val="6FE03DC5"/>
    <w:rsid w:val="6FED9ABD"/>
    <w:rsid w:val="6FF7D553"/>
    <w:rsid w:val="700A5729"/>
    <w:rsid w:val="704B8239"/>
    <w:rsid w:val="706193E1"/>
    <w:rsid w:val="709A0503"/>
    <w:rsid w:val="70D96BA3"/>
    <w:rsid w:val="70FBE151"/>
    <w:rsid w:val="7131AC44"/>
    <w:rsid w:val="714A8DDF"/>
    <w:rsid w:val="715C681A"/>
    <w:rsid w:val="716427E3"/>
    <w:rsid w:val="71A55B18"/>
    <w:rsid w:val="71BA946B"/>
    <w:rsid w:val="721A1210"/>
    <w:rsid w:val="724A4ED1"/>
    <w:rsid w:val="726E7F01"/>
    <w:rsid w:val="72813CE3"/>
    <w:rsid w:val="729C4539"/>
    <w:rsid w:val="72E9C02B"/>
    <w:rsid w:val="72F743B6"/>
    <w:rsid w:val="72FEA2E2"/>
    <w:rsid w:val="7317C97E"/>
    <w:rsid w:val="7317F021"/>
    <w:rsid w:val="731E681C"/>
    <w:rsid w:val="7365EF5F"/>
    <w:rsid w:val="736A27B4"/>
    <w:rsid w:val="7381BD79"/>
    <w:rsid w:val="73A8FCBD"/>
    <w:rsid w:val="73D2D635"/>
    <w:rsid w:val="73EBFB6E"/>
    <w:rsid w:val="740AC44A"/>
    <w:rsid w:val="744E7A75"/>
    <w:rsid w:val="74B89B24"/>
    <w:rsid w:val="74C72D7C"/>
    <w:rsid w:val="74CC1567"/>
    <w:rsid w:val="7552E0C7"/>
    <w:rsid w:val="75580613"/>
    <w:rsid w:val="755FE38C"/>
    <w:rsid w:val="757198CA"/>
    <w:rsid w:val="757C2B63"/>
    <w:rsid w:val="75F95C73"/>
    <w:rsid w:val="7606E474"/>
    <w:rsid w:val="7642F388"/>
    <w:rsid w:val="764CCAD8"/>
    <w:rsid w:val="76521D98"/>
    <w:rsid w:val="76793ECA"/>
    <w:rsid w:val="769A7574"/>
    <w:rsid w:val="76B4DCA9"/>
    <w:rsid w:val="76BBAF21"/>
    <w:rsid w:val="76C106BB"/>
    <w:rsid w:val="76C82A45"/>
    <w:rsid w:val="76DDE263"/>
    <w:rsid w:val="76E2D326"/>
    <w:rsid w:val="77331122"/>
    <w:rsid w:val="777517B2"/>
    <w:rsid w:val="778A098E"/>
    <w:rsid w:val="77D33182"/>
    <w:rsid w:val="77F18466"/>
    <w:rsid w:val="783A76E1"/>
    <w:rsid w:val="786CDF44"/>
    <w:rsid w:val="7888A214"/>
    <w:rsid w:val="789AE6F4"/>
    <w:rsid w:val="78B158E8"/>
    <w:rsid w:val="78B444EF"/>
    <w:rsid w:val="78B4EF55"/>
    <w:rsid w:val="7900A4DA"/>
    <w:rsid w:val="7921EC1B"/>
    <w:rsid w:val="792522EA"/>
    <w:rsid w:val="794F1BEB"/>
    <w:rsid w:val="79681177"/>
    <w:rsid w:val="7974217A"/>
    <w:rsid w:val="7994DC28"/>
    <w:rsid w:val="79C7FE82"/>
    <w:rsid w:val="79D5408B"/>
    <w:rsid w:val="79F950E7"/>
    <w:rsid w:val="7A9A6E0B"/>
    <w:rsid w:val="7B0BB49E"/>
    <w:rsid w:val="7B2E8599"/>
    <w:rsid w:val="7B3443F1"/>
    <w:rsid w:val="7B4AF54C"/>
    <w:rsid w:val="7B8C37E6"/>
    <w:rsid w:val="7B99EB21"/>
    <w:rsid w:val="7BB6771A"/>
    <w:rsid w:val="7BCE0065"/>
    <w:rsid w:val="7BD7A4CB"/>
    <w:rsid w:val="7BEC7F8B"/>
    <w:rsid w:val="7BFEF052"/>
    <w:rsid w:val="7C2B5A79"/>
    <w:rsid w:val="7C588CFD"/>
    <w:rsid w:val="7C6E2BC8"/>
    <w:rsid w:val="7CEAD046"/>
    <w:rsid w:val="7CF4E863"/>
    <w:rsid w:val="7CF79AF7"/>
    <w:rsid w:val="7D773093"/>
    <w:rsid w:val="7D786A64"/>
    <w:rsid w:val="7DD842C0"/>
    <w:rsid w:val="7DDC758D"/>
    <w:rsid w:val="7DE583A5"/>
    <w:rsid w:val="7DF6BE7C"/>
    <w:rsid w:val="7E118508"/>
    <w:rsid w:val="7E1AD2DC"/>
    <w:rsid w:val="7E4FD022"/>
    <w:rsid w:val="7E7FABB9"/>
    <w:rsid w:val="7EF35B96"/>
    <w:rsid w:val="7EFDBF1C"/>
    <w:rsid w:val="7F0579D1"/>
    <w:rsid w:val="7F05A869"/>
    <w:rsid w:val="7F18A921"/>
    <w:rsid w:val="7F1E3D0F"/>
    <w:rsid w:val="7F21616F"/>
    <w:rsid w:val="7F27E47B"/>
    <w:rsid w:val="7F4BDFE4"/>
    <w:rsid w:val="7F743612"/>
    <w:rsid w:val="7F767E4B"/>
    <w:rsid w:val="7F826C88"/>
    <w:rsid w:val="7F90A0A2"/>
    <w:rsid w:val="7F92A6EE"/>
    <w:rsid w:val="7FA92689"/>
    <w:rsid w:val="7FF69E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FC170"/>
  <w15:docId w15:val="{2368752D-0C8F-4B09-9DB3-62361738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FE"/>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3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350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locked/>
    <w:rsid w:val="00AC2F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6C32F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651F"/>
    <w:pPr>
      <w:spacing w:after="0" w:line="240" w:lineRule="auto"/>
    </w:pPr>
    <w:rPr>
      <w:szCs w:val="20"/>
      <w:lang w:eastAsia="en-GB"/>
    </w:rPr>
  </w:style>
  <w:style w:type="character" w:customStyle="1" w:styleId="BodyTextChar">
    <w:name w:val="Body Text Char"/>
    <w:basedOn w:val="DefaultParagraphFont"/>
    <w:link w:val="BodyText"/>
    <w:uiPriority w:val="99"/>
    <w:rsid w:val="0011651F"/>
    <w:rPr>
      <w:rFonts w:ascii="Arial" w:hAnsi="Arial" w:cs="Times New Roman"/>
      <w:sz w:val="24"/>
      <w:szCs w:val="20"/>
      <w:lang w:eastAsia="en-GB"/>
    </w:rPr>
  </w:style>
  <w:style w:type="paragraph" w:styleId="BodyTextIndent">
    <w:name w:val="Body Text Indent"/>
    <w:basedOn w:val="Normal"/>
    <w:link w:val="BodyTextIndentChar"/>
    <w:uiPriority w:val="99"/>
    <w:semiHidden/>
    <w:unhideWhenUsed/>
    <w:rsid w:val="0011651F"/>
    <w:pPr>
      <w:spacing w:after="120" w:line="240" w:lineRule="auto"/>
      <w:ind w:left="283"/>
    </w:pPr>
    <w:rPr>
      <w:szCs w:val="20"/>
      <w:lang w:eastAsia="en-GB"/>
    </w:rPr>
  </w:style>
  <w:style w:type="character" w:customStyle="1" w:styleId="BodyTextIndentChar">
    <w:name w:val="Body Text Indent Char"/>
    <w:basedOn w:val="DefaultParagraphFont"/>
    <w:link w:val="BodyTextIndent"/>
    <w:uiPriority w:val="99"/>
    <w:semiHidden/>
    <w:rsid w:val="0011651F"/>
    <w:rPr>
      <w:rFonts w:ascii="Arial" w:hAnsi="Arial" w:cs="Times New Roman"/>
      <w:sz w:val="24"/>
      <w:szCs w:val="20"/>
      <w:lang w:eastAsia="en-GB"/>
    </w:rPr>
  </w:style>
  <w:style w:type="paragraph" w:styleId="Revision">
    <w:name w:val="Revision"/>
    <w:hidden/>
    <w:uiPriority w:val="99"/>
    <w:semiHidden/>
    <w:rsid w:val="00D4577A"/>
    <w:pPr>
      <w:spacing w:after="0" w:line="240" w:lineRule="auto"/>
    </w:pPr>
    <w:rPr>
      <w:rFonts w:ascii="Arial" w:hAnsi="Arial" w:cs="Times New Roman"/>
      <w:sz w:val="24"/>
    </w:rPr>
  </w:style>
  <w:style w:type="character" w:customStyle="1" w:styleId="normaltextrun">
    <w:name w:val="normaltextrun"/>
    <w:basedOn w:val="DefaultParagraphFont"/>
    <w:rsid w:val="00412B89"/>
  </w:style>
  <w:style w:type="character" w:customStyle="1" w:styleId="eop">
    <w:name w:val="eop"/>
    <w:basedOn w:val="DefaultParagraphFont"/>
    <w:rsid w:val="00412B89"/>
  </w:style>
  <w:style w:type="paragraph" w:customStyle="1" w:styleId="paragraph">
    <w:name w:val="paragraph"/>
    <w:basedOn w:val="Normal"/>
    <w:rsid w:val="008411B3"/>
    <w:pPr>
      <w:spacing w:before="100" w:beforeAutospacing="1" w:after="100" w:afterAutospacing="1" w:line="240" w:lineRule="auto"/>
    </w:pPr>
    <w:rPr>
      <w:rFonts w:ascii="Times New Roman" w:hAnsi="Times New Roman"/>
      <w:szCs w:val="24"/>
      <w:lang w:eastAsia="en-GB"/>
    </w:rPr>
  </w:style>
  <w:style w:type="character" w:styleId="Mention">
    <w:name w:val="Mention"/>
    <w:basedOn w:val="DefaultParagraphFont"/>
    <w:uiPriority w:val="99"/>
    <w:unhideWhenUsed/>
    <w:rsid w:val="00F121FF"/>
    <w:rPr>
      <w:color w:val="2B579A"/>
      <w:shd w:val="clear" w:color="auto" w:fill="E6E6E6"/>
    </w:rPr>
  </w:style>
  <w:style w:type="character" w:styleId="UnresolvedMention">
    <w:name w:val="Unresolved Mention"/>
    <w:basedOn w:val="DefaultParagraphFont"/>
    <w:uiPriority w:val="99"/>
    <w:unhideWhenUsed/>
    <w:rsid w:val="009B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65">
      <w:bodyDiv w:val="1"/>
      <w:marLeft w:val="0"/>
      <w:marRight w:val="0"/>
      <w:marTop w:val="0"/>
      <w:marBottom w:val="0"/>
      <w:divBdr>
        <w:top w:val="none" w:sz="0" w:space="0" w:color="auto"/>
        <w:left w:val="none" w:sz="0" w:space="0" w:color="auto"/>
        <w:bottom w:val="none" w:sz="0" w:space="0" w:color="auto"/>
        <w:right w:val="none" w:sz="0" w:space="0" w:color="auto"/>
      </w:divBdr>
      <w:divsChild>
        <w:div w:id="361176768">
          <w:marLeft w:val="0"/>
          <w:marRight w:val="0"/>
          <w:marTop w:val="0"/>
          <w:marBottom w:val="0"/>
          <w:divBdr>
            <w:top w:val="none" w:sz="0" w:space="0" w:color="auto"/>
            <w:left w:val="none" w:sz="0" w:space="0" w:color="auto"/>
            <w:bottom w:val="none" w:sz="0" w:space="0" w:color="auto"/>
            <w:right w:val="none" w:sz="0" w:space="0" w:color="auto"/>
          </w:divBdr>
        </w:div>
        <w:div w:id="381684394">
          <w:marLeft w:val="0"/>
          <w:marRight w:val="0"/>
          <w:marTop w:val="0"/>
          <w:marBottom w:val="0"/>
          <w:divBdr>
            <w:top w:val="none" w:sz="0" w:space="0" w:color="auto"/>
            <w:left w:val="none" w:sz="0" w:space="0" w:color="auto"/>
            <w:bottom w:val="none" w:sz="0" w:space="0" w:color="auto"/>
            <w:right w:val="none" w:sz="0" w:space="0" w:color="auto"/>
          </w:divBdr>
        </w:div>
        <w:div w:id="903877036">
          <w:marLeft w:val="0"/>
          <w:marRight w:val="0"/>
          <w:marTop w:val="0"/>
          <w:marBottom w:val="0"/>
          <w:divBdr>
            <w:top w:val="none" w:sz="0" w:space="0" w:color="auto"/>
            <w:left w:val="none" w:sz="0" w:space="0" w:color="auto"/>
            <w:bottom w:val="none" w:sz="0" w:space="0" w:color="auto"/>
            <w:right w:val="none" w:sz="0" w:space="0" w:color="auto"/>
          </w:divBdr>
        </w:div>
      </w:divsChild>
    </w:div>
    <w:div w:id="314921743">
      <w:bodyDiv w:val="1"/>
      <w:marLeft w:val="0"/>
      <w:marRight w:val="0"/>
      <w:marTop w:val="0"/>
      <w:marBottom w:val="0"/>
      <w:divBdr>
        <w:top w:val="none" w:sz="0" w:space="0" w:color="auto"/>
        <w:left w:val="none" w:sz="0" w:space="0" w:color="auto"/>
        <w:bottom w:val="none" w:sz="0" w:space="0" w:color="auto"/>
        <w:right w:val="none" w:sz="0" w:space="0" w:color="auto"/>
      </w:divBdr>
    </w:div>
    <w:div w:id="444347514">
      <w:bodyDiv w:val="1"/>
      <w:marLeft w:val="0"/>
      <w:marRight w:val="0"/>
      <w:marTop w:val="0"/>
      <w:marBottom w:val="0"/>
      <w:divBdr>
        <w:top w:val="none" w:sz="0" w:space="0" w:color="auto"/>
        <w:left w:val="none" w:sz="0" w:space="0" w:color="auto"/>
        <w:bottom w:val="none" w:sz="0" w:space="0" w:color="auto"/>
        <w:right w:val="none" w:sz="0" w:space="0" w:color="auto"/>
      </w:divBdr>
    </w:div>
    <w:div w:id="675156939">
      <w:bodyDiv w:val="1"/>
      <w:marLeft w:val="0"/>
      <w:marRight w:val="0"/>
      <w:marTop w:val="0"/>
      <w:marBottom w:val="0"/>
      <w:divBdr>
        <w:top w:val="none" w:sz="0" w:space="0" w:color="auto"/>
        <w:left w:val="none" w:sz="0" w:space="0" w:color="auto"/>
        <w:bottom w:val="none" w:sz="0" w:space="0" w:color="auto"/>
        <w:right w:val="none" w:sz="0" w:space="0" w:color="auto"/>
      </w:divBdr>
    </w:div>
    <w:div w:id="689255633">
      <w:bodyDiv w:val="1"/>
      <w:marLeft w:val="0"/>
      <w:marRight w:val="0"/>
      <w:marTop w:val="0"/>
      <w:marBottom w:val="0"/>
      <w:divBdr>
        <w:top w:val="none" w:sz="0" w:space="0" w:color="auto"/>
        <w:left w:val="none" w:sz="0" w:space="0" w:color="auto"/>
        <w:bottom w:val="none" w:sz="0" w:space="0" w:color="auto"/>
        <w:right w:val="none" w:sz="0" w:space="0" w:color="auto"/>
      </w:divBdr>
    </w:div>
    <w:div w:id="868563536">
      <w:bodyDiv w:val="1"/>
      <w:marLeft w:val="0"/>
      <w:marRight w:val="0"/>
      <w:marTop w:val="0"/>
      <w:marBottom w:val="0"/>
      <w:divBdr>
        <w:top w:val="none" w:sz="0" w:space="0" w:color="auto"/>
        <w:left w:val="none" w:sz="0" w:space="0" w:color="auto"/>
        <w:bottom w:val="none" w:sz="0" w:space="0" w:color="auto"/>
        <w:right w:val="none" w:sz="0" w:space="0" w:color="auto"/>
      </w:divBdr>
      <w:divsChild>
        <w:div w:id="292759817">
          <w:marLeft w:val="0"/>
          <w:marRight w:val="0"/>
          <w:marTop w:val="0"/>
          <w:marBottom w:val="0"/>
          <w:divBdr>
            <w:top w:val="none" w:sz="0" w:space="0" w:color="auto"/>
            <w:left w:val="none" w:sz="0" w:space="0" w:color="auto"/>
            <w:bottom w:val="none" w:sz="0" w:space="0" w:color="auto"/>
            <w:right w:val="none" w:sz="0" w:space="0" w:color="auto"/>
          </w:divBdr>
        </w:div>
        <w:div w:id="1339768477">
          <w:marLeft w:val="0"/>
          <w:marRight w:val="0"/>
          <w:marTop w:val="0"/>
          <w:marBottom w:val="0"/>
          <w:divBdr>
            <w:top w:val="none" w:sz="0" w:space="0" w:color="auto"/>
            <w:left w:val="none" w:sz="0" w:space="0" w:color="auto"/>
            <w:bottom w:val="none" w:sz="0" w:space="0" w:color="auto"/>
            <w:right w:val="none" w:sz="0" w:space="0" w:color="auto"/>
          </w:divBdr>
        </w:div>
        <w:div w:id="1534730443">
          <w:marLeft w:val="0"/>
          <w:marRight w:val="0"/>
          <w:marTop w:val="0"/>
          <w:marBottom w:val="0"/>
          <w:divBdr>
            <w:top w:val="none" w:sz="0" w:space="0" w:color="auto"/>
            <w:left w:val="none" w:sz="0" w:space="0" w:color="auto"/>
            <w:bottom w:val="none" w:sz="0" w:space="0" w:color="auto"/>
            <w:right w:val="none" w:sz="0" w:space="0" w:color="auto"/>
          </w:divBdr>
        </w:div>
      </w:divsChild>
    </w:div>
    <w:div w:id="869730505">
      <w:bodyDiv w:val="1"/>
      <w:marLeft w:val="0"/>
      <w:marRight w:val="0"/>
      <w:marTop w:val="0"/>
      <w:marBottom w:val="0"/>
      <w:divBdr>
        <w:top w:val="none" w:sz="0" w:space="0" w:color="auto"/>
        <w:left w:val="none" w:sz="0" w:space="0" w:color="auto"/>
        <w:bottom w:val="none" w:sz="0" w:space="0" w:color="auto"/>
        <w:right w:val="none" w:sz="0" w:space="0" w:color="auto"/>
      </w:divBdr>
      <w:divsChild>
        <w:div w:id="64300104">
          <w:marLeft w:val="0"/>
          <w:marRight w:val="0"/>
          <w:marTop w:val="0"/>
          <w:marBottom w:val="0"/>
          <w:divBdr>
            <w:top w:val="none" w:sz="0" w:space="0" w:color="auto"/>
            <w:left w:val="none" w:sz="0" w:space="0" w:color="auto"/>
            <w:bottom w:val="none" w:sz="0" w:space="0" w:color="auto"/>
            <w:right w:val="none" w:sz="0" w:space="0" w:color="auto"/>
          </w:divBdr>
        </w:div>
        <w:div w:id="91710948">
          <w:marLeft w:val="0"/>
          <w:marRight w:val="0"/>
          <w:marTop w:val="0"/>
          <w:marBottom w:val="0"/>
          <w:divBdr>
            <w:top w:val="none" w:sz="0" w:space="0" w:color="auto"/>
            <w:left w:val="none" w:sz="0" w:space="0" w:color="auto"/>
            <w:bottom w:val="none" w:sz="0" w:space="0" w:color="auto"/>
            <w:right w:val="none" w:sz="0" w:space="0" w:color="auto"/>
          </w:divBdr>
          <w:divsChild>
            <w:div w:id="1238903042">
              <w:marLeft w:val="0"/>
              <w:marRight w:val="0"/>
              <w:marTop w:val="0"/>
              <w:marBottom w:val="0"/>
              <w:divBdr>
                <w:top w:val="none" w:sz="0" w:space="0" w:color="auto"/>
                <w:left w:val="none" w:sz="0" w:space="0" w:color="auto"/>
                <w:bottom w:val="none" w:sz="0" w:space="0" w:color="auto"/>
                <w:right w:val="none" w:sz="0" w:space="0" w:color="auto"/>
              </w:divBdr>
            </w:div>
            <w:div w:id="2085638206">
              <w:marLeft w:val="0"/>
              <w:marRight w:val="0"/>
              <w:marTop w:val="0"/>
              <w:marBottom w:val="0"/>
              <w:divBdr>
                <w:top w:val="none" w:sz="0" w:space="0" w:color="auto"/>
                <w:left w:val="none" w:sz="0" w:space="0" w:color="auto"/>
                <w:bottom w:val="none" w:sz="0" w:space="0" w:color="auto"/>
                <w:right w:val="none" w:sz="0" w:space="0" w:color="auto"/>
              </w:divBdr>
            </w:div>
            <w:div w:id="2146579763">
              <w:marLeft w:val="0"/>
              <w:marRight w:val="0"/>
              <w:marTop w:val="0"/>
              <w:marBottom w:val="0"/>
              <w:divBdr>
                <w:top w:val="none" w:sz="0" w:space="0" w:color="auto"/>
                <w:left w:val="none" w:sz="0" w:space="0" w:color="auto"/>
                <w:bottom w:val="none" w:sz="0" w:space="0" w:color="auto"/>
                <w:right w:val="none" w:sz="0" w:space="0" w:color="auto"/>
              </w:divBdr>
            </w:div>
          </w:divsChild>
        </w:div>
        <w:div w:id="383141650">
          <w:marLeft w:val="0"/>
          <w:marRight w:val="0"/>
          <w:marTop w:val="0"/>
          <w:marBottom w:val="0"/>
          <w:divBdr>
            <w:top w:val="none" w:sz="0" w:space="0" w:color="auto"/>
            <w:left w:val="none" w:sz="0" w:space="0" w:color="auto"/>
            <w:bottom w:val="none" w:sz="0" w:space="0" w:color="auto"/>
            <w:right w:val="none" w:sz="0" w:space="0" w:color="auto"/>
          </w:divBdr>
        </w:div>
        <w:div w:id="454518470">
          <w:marLeft w:val="0"/>
          <w:marRight w:val="0"/>
          <w:marTop w:val="0"/>
          <w:marBottom w:val="0"/>
          <w:divBdr>
            <w:top w:val="none" w:sz="0" w:space="0" w:color="auto"/>
            <w:left w:val="none" w:sz="0" w:space="0" w:color="auto"/>
            <w:bottom w:val="none" w:sz="0" w:space="0" w:color="auto"/>
            <w:right w:val="none" w:sz="0" w:space="0" w:color="auto"/>
          </w:divBdr>
        </w:div>
        <w:div w:id="545140414">
          <w:marLeft w:val="0"/>
          <w:marRight w:val="0"/>
          <w:marTop w:val="0"/>
          <w:marBottom w:val="0"/>
          <w:divBdr>
            <w:top w:val="none" w:sz="0" w:space="0" w:color="auto"/>
            <w:left w:val="none" w:sz="0" w:space="0" w:color="auto"/>
            <w:bottom w:val="none" w:sz="0" w:space="0" w:color="auto"/>
            <w:right w:val="none" w:sz="0" w:space="0" w:color="auto"/>
          </w:divBdr>
        </w:div>
        <w:div w:id="621418427">
          <w:marLeft w:val="0"/>
          <w:marRight w:val="0"/>
          <w:marTop w:val="0"/>
          <w:marBottom w:val="0"/>
          <w:divBdr>
            <w:top w:val="none" w:sz="0" w:space="0" w:color="auto"/>
            <w:left w:val="none" w:sz="0" w:space="0" w:color="auto"/>
            <w:bottom w:val="none" w:sz="0" w:space="0" w:color="auto"/>
            <w:right w:val="none" w:sz="0" w:space="0" w:color="auto"/>
          </w:divBdr>
        </w:div>
        <w:div w:id="765619878">
          <w:marLeft w:val="0"/>
          <w:marRight w:val="0"/>
          <w:marTop w:val="0"/>
          <w:marBottom w:val="0"/>
          <w:divBdr>
            <w:top w:val="none" w:sz="0" w:space="0" w:color="auto"/>
            <w:left w:val="none" w:sz="0" w:space="0" w:color="auto"/>
            <w:bottom w:val="none" w:sz="0" w:space="0" w:color="auto"/>
            <w:right w:val="none" w:sz="0" w:space="0" w:color="auto"/>
          </w:divBdr>
          <w:divsChild>
            <w:div w:id="882060045">
              <w:marLeft w:val="0"/>
              <w:marRight w:val="0"/>
              <w:marTop w:val="0"/>
              <w:marBottom w:val="0"/>
              <w:divBdr>
                <w:top w:val="none" w:sz="0" w:space="0" w:color="auto"/>
                <w:left w:val="none" w:sz="0" w:space="0" w:color="auto"/>
                <w:bottom w:val="none" w:sz="0" w:space="0" w:color="auto"/>
                <w:right w:val="none" w:sz="0" w:space="0" w:color="auto"/>
              </w:divBdr>
            </w:div>
            <w:div w:id="1998263292">
              <w:marLeft w:val="0"/>
              <w:marRight w:val="0"/>
              <w:marTop w:val="0"/>
              <w:marBottom w:val="0"/>
              <w:divBdr>
                <w:top w:val="none" w:sz="0" w:space="0" w:color="auto"/>
                <w:left w:val="none" w:sz="0" w:space="0" w:color="auto"/>
                <w:bottom w:val="none" w:sz="0" w:space="0" w:color="auto"/>
                <w:right w:val="none" w:sz="0" w:space="0" w:color="auto"/>
              </w:divBdr>
            </w:div>
            <w:div w:id="2069571319">
              <w:marLeft w:val="0"/>
              <w:marRight w:val="0"/>
              <w:marTop w:val="0"/>
              <w:marBottom w:val="0"/>
              <w:divBdr>
                <w:top w:val="none" w:sz="0" w:space="0" w:color="auto"/>
                <w:left w:val="none" w:sz="0" w:space="0" w:color="auto"/>
                <w:bottom w:val="none" w:sz="0" w:space="0" w:color="auto"/>
                <w:right w:val="none" w:sz="0" w:space="0" w:color="auto"/>
              </w:divBdr>
            </w:div>
          </w:divsChild>
        </w:div>
        <w:div w:id="789978128">
          <w:marLeft w:val="0"/>
          <w:marRight w:val="0"/>
          <w:marTop w:val="0"/>
          <w:marBottom w:val="0"/>
          <w:divBdr>
            <w:top w:val="none" w:sz="0" w:space="0" w:color="auto"/>
            <w:left w:val="none" w:sz="0" w:space="0" w:color="auto"/>
            <w:bottom w:val="none" w:sz="0" w:space="0" w:color="auto"/>
            <w:right w:val="none" w:sz="0" w:space="0" w:color="auto"/>
          </w:divBdr>
        </w:div>
        <w:div w:id="838037919">
          <w:marLeft w:val="0"/>
          <w:marRight w:val="0"/>
          <w:marTop w:val="0"/>
          <w:marBottom w:val="0"/>
          <w:divBdr>
            <w:top w:val="none" w:sz="0" w:space="0" w:color="auto"/>
            <w:left w:val="none" w:sz="0" w:space="0" w:color="auto"/>
            <w:bottom w:val="none" w:sz="0" w:space="0" w:color="auto"/>
            <w:right w:val="none" w:sz="0" w:space="0" w:color="auto"/>
          </w:divBdr>
        </w:div>
        <w:div w:id="853030957">
          <w:marLeft w:val="0"/>
          <w:marRight w:val="0"/>
          <w:marTop w:val="0"/>
          <w:marBottom w:val="0"/>
          <w:divBdr>
            <w:top w:val="none" w:sz="0" w:space="0" w:color="auto"/>
            <w:left w:val="none" w:sz="0" w:space="0" w:color="auto"/>
            <w:bottom w:val="none" w:sz="0" w:space="0" w:color="auto"/>
            <w:right w:val="none" w:sz="0" w:space="0" w:color="auto"/>
          </w:divBdr>
        </w:div>
        <w:div w:id="925579987">
          <w:marLeft w:val="0"/>
          <w:marRight w:val="0"/>
          <w:marTop w:val="0"/>
          <w:marBottom w:val="0"/>
          <w:divBdr>
            <w:top w:val="none" w:sz="0" w:space="0" w:color="auto"/>
            <w:left w:val="none" w:sz="0" w:space="0" w:color="auto"/>
            <w:bottom w:val="none" w:sz="0" w:space="0" w:color="auto"/>
            <w:right w:val="none" w:sz="0" w:space="0" w:color="auto"/>
          </w:divBdr>
        </w:div>
        <w:div w:id="999581308">
          <w:marLeft w:val="0"/>
          <w:marRight w:val="0"/>
          <w:marTop w:val="0"/>
          <w:marBottom w:val="0"/>
          <w:divBdr>
            <w:top w:val="none" w:sz="0" w:space="0" w:color="auto"/>
            <w:left w:val="none" w:sz="0" w:space="0" w:color="auto"/>
            <w:bottom w:val="none" w:sz="0" w:space="0" w:color="auto"/>
            <w:right w:val="none" w:sz="0" w:space="0" w:color="auto"/>
          </w:divBdr>
        </w:div>
        <w:div w:id="1105805145">
          <w:marLeft w:val="0"/>
          <w:marRight w:val="0"/>
          <w:marTop w:val="0"/>
          <w:marBottom w:val="0"/>
          <w:divBdr>
            <w:top w:val="none" w:sz="0" w:space="0" w:color="auto"/>
            <w:left w:val="none" w:sz="0" w:space="0" w:color="auto"/>
            <w:bottom w:val="none" w:sz="0" w:space="0" w:color="auto"/>
            <w:right w:val="none" w:sz="0" w:space="0" w:color="auto"/>
          </w:divBdr>
        </w:div>
        <w:div w:id="1121804596">
          <w:marLeft w:val="0"/>
          <w:marRight w:val="0"/>
          <w:marTop w:val="0"/>
          <w:marBottom w:val="0"/>
          <w:divBdr>
            <w:top w:val="none" w:sz="0" w:space="0" w:color="auto"/>
            <w:left w:val="none" w:sz="0" w:space="0" w:color="auto"/>
            <w:bottom w:val="none" w:sz="0" w:space="0" w:color="auto"/>
            <w:right w:val="none" w:sz="0" w:space="0" w:color="auto"/>
          </w:divBdr>
        </w:div>
        <w:div w:id="1336692197">
          <w:marLeft w:val="0"/>
          <w:marRight w:val="0"/>
          <w:marTop w:val="0"/>
          <w:marBottom w:val="0"/>
          <w:divBdr>
            <w:top w:val="none" w:sz="0" w:space="0" w:color="auto"/>
            <w:left w:val="none" w:sz="0" w:space="0" w:color="auto"/>
            <w:bottom w:val="none" w:sz="0" w:space="0" w:color="auto"/>
            <w:right w:val="none" w:sz="0" w:space="0" w:color="auto"/>
          </w:divBdr>
        </w:div>
        <w:div w:id="1409965584">
          <w:marLeft w:val="0"/>
          <w:marRight w:val="0"/>
          <w:marTop w:val="0"/>
          <w:marBottom w:val="0"/>
          <w:divBdr>
            <w:top w:val="none" w:sz="0" w:space="0" w:color="auto"/>
            <w:left w:val="none" w:sz="0" w:space="0" w:color="auto"/>
            <w:bottom w:val="none" w:sz="0" w:space="0" w:color="auto"/>
            <w:right w:val="none" w:sz="0" w:space="0" w:color="auto"/>
          </w:divBdr>
        </w:div>
        <w:div w:id="1416242563">
          <w:marLeft w:val="0"/>
          <w:marRight w:val="0"/>
          <w:marTop w:val="0"/>
          <w:marBottom w:val="0"/>
          <w:divBdr>
            <w:top w:val="none" w:sz="0" w:space="0" w:color="auto"/>
            <w:left w:val="none" w:sz="0" w:space="0" w:color="auto"/>
            <w:bottom w:val="none" w:sz="0" w:space="0" w:color="auto"/>
            <w:right w:val="none" w:sz="0" w:space="0" w:color="auto"/>
          </w:divBdr>
        </w:div>
        <w:div w:id="1539199476">
          <w:marLeft w:val="0"/>
          <w:marRight w:val="0"/>
          <w:marTop w:val="0"/>
          <w:marBottom w:val="0"/>
          <w:divBdr>
            <w:top w:val="none" w:sz="0" w:space="0" w:color="auto"/>
            <w:left w:val="none" w:sz="0" w:space="0" w:color="auto"/>
            <w:bottom w:val="none" w:sz="0" w:space="0" w:color="auto"/>
            <w:right w:val="none" w:sz="0" w:space="0" w:color="auto"/>
          </w:divBdr>
        </w:div>
        <w:div w:id="1573347734">
          <w:marLeft w:val="0"/>
          <w:marRight w:val="0"/>
          <w:marTop w:val="0"/>
          <w:marBottom w:val="0"/>
          <w:divBdr>
            <w:top w:val="none" w:sz="0" w:space="0" w:color="auto"/>
            <w:left w:val="none" w:sz="0" w:space="0" w:color="auto"/>
            <w:bottom w:val="none" w:sz="0" w:space="0" w:color="auto"/>
            <w:right w:val="none" w:sz="0" w:space="0" w:color="auto"/>
          </w:divBdr>
        </w:div>
        <w:div w:id="1589197273">
          <w:marLeft w:val="0"/>
          <w:marRight w:val="0"/>
          <w:marTop w:val="0"/>
          <w:marBottom w:val="0"/>
          <w:divBdr>
            <w:top w:val="none" w:sz="0" w:space="0" w:color="auto"/>
            <w:left w:val="none" w:sz="0" w:space="0" w:color="auto"/>
            <w:bottom w:val="none" w:sz="0" w:space="0" w:color="auto"/>
            <w:right w:val="none" w:sz="0" w:space="0" w:color="auto"/>
          </w:divBdr>
        </w:div>
        <w:div w:id="1597250504">
          <w:marLeft w:val="0"/>
          <w:marRight w:val="0"/>
          <w:marTop w:val="0"/>
          <w:marBottom w:val="0"/>
          <w:divBdr>
            <w:top w:val="none" w:sz="0" w:space="0" w:color="auto"/>
            <w:left w:val="none" w:sz="0" w:space="0" w:color="auto"/>
            <w:bottom w:val="none" w:sz="0" w:space="0" w:color="auto"/>
            <w:right w:val="none" w:sz="0" w:space="0" w:color="auto"/>
          </w:divBdr>
        </w:div>
        <w:div w:id="1673099181">
          <w:marLeft w:val="0"/>
          <w:marRight w:val="0"/>
          <w:marTop w:val="0"/>
          <w:marBottom w:val="0"/>
          <w:divBdr>
            <w:top w:val="none" w:sz="0" w:space="0" w:color="auto"/>
            <w:left w:val="none" w:sz="0" w:space="0" w:color="auto"/>
            <w:bottom w:val="none" w:sz="0" w:space="0" w:color="auto"/>
            <w:right w:val="none" w:sz="0" w:space="0" w:color="auto"/>
          </w:divBdr>
        </w:div>
        <w:div w:id="1928297524">
          <w:marLeft w:val="0"/>
          <w:marRight w:val="0"/>
          <w:marTop w:val="0"/>
          <w:marBottom w:val="0"/>
          <w:divBdr>
            <w:top w:val="none" w:sz="0" w:space="0" w:color="auto"/>
            <w:left w:val="none" w:sz="0" w:space="0" w:color="auto"/>
            <w:bottom w:val="none" w:sz="0" w:space="0" w:color="auto"/>
            <w:right w:val="none" w:sz="0" w:space="0" w:color="auto"/>
          </w:divBdr>
        </w:div>
        <w:div w:id="1957524711">
          <w:marLeft w:val="0"/>
          <w:marRight w:val="0"/>
          <w:marTop w:val="0"/>
          <w:marBottom w:val="0"/>
          <w:divBdr>
            <w:top w:val="none" w:sz="0" w:space="0" w:color="auto"/>
            <w:left w:val="none" w:sz="0" w:space="0" w:color="auto"/>
            <w:bottom w:val="none" w:sz="0" w:space="0" w:color="auto"/>
            <w:right w:val="none" w:sz="0" w:space="0" w:color="auto"/>
          </w:divBdr>
        </w:div>
        <w:div w:id="2104952490">
          <w:marLeft w:val="0"/>
          <w:marRight w:val="0"/>
          <w:marTop w:val="0"/>
          <w:marBottom w:val="0"/>
          <w:divBdr>
            <w:top w:val="none" w:sz="0" w:space="0" w:color="auto"/>
            <w:left w:val="none" w:sz="0" w:space="0" w:color="auto"/>
            <w:bottom w:val="none" w:sz="0" w:space="0" w:color="auto"/>
            <w:right w:val="none" w:sz="0" w:space="0" w:color="auto"/>
          </w:divBdr>
        </w:div>
      </w:divsChild>
    </w:div>
    <w:div w:id="960917561">
      <w:bodyDiv w:val="1"/>
      <w:marLeft w:val="0"/>
      <w:marRight w:val="0"/>
      <w:marTop w:val="0"/>
      <w:marBottom w:val="0"/>
      <w:divBdr>
        <w:top w:val="none" w:sz="0" w:space="0" w:color="auto"/>
        <w:left w:val="none" w:sz="0" w:space="0" w:color="auto"/>
        <w:bottom w:val="none" w:sz="0" w:space="0" w:color="auto"/>
        <w:right w:val="none" w:sz="0" w:space="0" w:color="auto"/>
      </w:divBdr>
    </w:div>
    <w:div w:id="970788595">
      <w:bodyDiv w:val="1"/>
      <w:marLeft w:val="0"/>
      <w:marRight w:val="0"/>
      <w:marTop w:val="0"/>
      <w:marBottom w:val="0"/>
      <w:divBdr>
        <w:top w:val="none" w:sz="0" w:space="0" w:color="auto"/>
        <w:left w:val="none" w:sz="0" w:space="0" w:color="auto"/>
        <w:bottom w:val="none" w:sz="0" w:space="0" w:color="auto"/>
        <w:right w:val="none" w:sz="0" w:space="0" w:color="auto"/>
      </w:divBdr>
      <w:divsChild>
        <w:div w:id="846679772">
          <w:marLeft w:val="0"/>
          <w:marRight w:val="0"/>
          <w:marTop w:val="0"/>
          <w:marBottom w:val="0"/>
          <w:divBdr>
            <w:top w:val="none" w:sz="0" w:space="0" w:color="auto"/>
            <w:left w:val="none" w:sz="0" w:space="0" w:color="auto"/>
            <w:bottom w:val="none" w:sz="0" w:space="0" w:color="auto"/>
            <w:right w:val="none" w:sz="0" w:space="0" w:color="auto"/>
          </w:divBdr>
        </w:div>
        <w:div w:id="1917977939">
          <w:marLeft w:val="0"/>
          <w:marRight w:val="0"/>
          <w:marTop w:val="0"/>
          <w:marBottom w:val="0"/>
          <w:divBdr>
            <w:top w:val="none" w:sz="0" w:space="0" w:color="auto"/>
            <w:left w:val="none" w:sz="0" w:space="0" w:color="auto"/>
            <w:bottom w:val="none" w:sz="0" w:space="0" w:color="auto"/>
            <w:right w:val="none" w:sz="0" w:space="0" w:color="auto"/>
          </w:divBdr>
        </w:div>
        <w:div w:id="2121024635">
          <w:marLeft w:val="0"/>
          <w:marRight w:val="0"/>
          <w:marTop w:val="0"/>
          <w:marBottom w:val="0"/>
          <w:divBdr>
            <w:top w:val="none" w:sz="0" w:space="0" w:color="auto"/>
            <w:left w:val="none" w:sz="0" w:space="0" w:color="auto"/>
            <w:bottom w:val="none" w:sz="0" w:space="0" w:color="auto"/>
            <w:right w:val="none" w:sz="0" w:space="0" w:color="auto"/>
          </w:divBdr>
        </w:div>
      </w:divsChild>
    </w:div>
    <w:div w:id="1043482510">
      <w:bodyDiv w:val="1"/>
      <w:marLeft w:val="0"/>
      <w:marRight w:val="0"/>
      <w:marTop w:val="0"/>
      <w:marBottom w:val="0"/>
      <w:divBdr>
        <w:top w:val="none" w:sz="0" w:space="0" w:color="auto"/>
        <w:left w:val="none" w:sz="0" w:space="0" w:color="auto"/>
        <w:bottom w:val="none" w:sz="0" w:space="0" w:color="auto"/>
        <w:right w:val="none" w:sz="0" w:space="0" w:color="auto"/>
      </w:divBdr>
    </w:div>
    <w:div w:id="1126509111">
      <w:bodyDiv w:val="1"/>
      <w:marLeft w:val="0"/>
      <w:marRight w:val="0"/>
      <w:marTop w:val="0"/>
      <w:marBottom w:val="0"/>
      <w:divBdr>
        <w:top w:val="none" w:sz="0" w:space="0" w:color="auto"/>
        <w:left w:val="none" w:sz="0" w:space="0" w:color="auto"/>
        <w:bottom w:val="none" w:sz="0" w:space="0" w:color="auto"/>
        <w:right w:val="none" w:sz="0" w:space="0" w:color="auto"/>
      </w:divBdr>
      <w:divsChild>
        <w:div w:id="271057051">
          <w:marLeft w:val="0"/>
          <w:marRight w:val="0"/>
          <w:marTop w:val="0"/>
          <w:marBottom w:val="0"/>
          <w:divBdr>
            <w:top w:val="none" w:sz="0" w:space="0" w:color="auto"/>
            <w:left w:val="none" w:sz="0" w:space="0" w:color="auto"/>
            <w:bottom w:val="none" w:sz="0" w:space="0" w:color="auto"/>
            <w:right w:val="none" w:sz="0" w:space="0" w:color="auto"/>
          </w:divBdr>
        </w:div>
        <w:div w:id="837884237">
          <w:marLeft w:val="0"/>
          <w:marRight w:val="0"/>
          <w:marTop w:val="0"/>
          <w:marBottom w:val="0"/>
          <w:divBdr>
            <w:top w:val="none" w:sz="0" w:space="0" w:color="auto"/>
            <w:left w:val="none" w:sz="0" w:space="0" w:color="auto"/>
            <w:bottom w:val="none" w:sz="0" w:space="0" w:color="auto"/>
            <w:right w:val="none" w:sz="0" w:space="0" w:color="auto"/>
          </w:divBdr>
        </w:div>
        <w:div w:id="981157828">
          <w:marLeft w:val="0"/>
          <w:marRight w:val="0"/>
          <w:marTop w:val="0"/>
          <w:marBottom w:val="0"/>
          <w:divBdr>
            <w:top w:val="none" w:sz="0" w:space="0" w:color="auto"/>
            <w:left w:val="none" w:sz="0" w:space="0" w:color="auto"/>
            <w:bottom w:val="none" w:sz="0" w:space="0" w:color="auto"/>
            <w:right w:val="none" w:sz="0" w:space="0" w:color="auto"/>
          </w:divBdr>
        </w:div>
        <w:div w:id="1203975468">
          <w:marLeft w:val="0"/>
          <w:marRight w:val="0"/>
          <w:marTop w:val="0"/>
          <w:marBottom w:val="0"/>
          <w:divBdr>
            <w:top w:val="none" w:sz="0" w:space="0" w:color="auto"/>
            <w:left w:val="none" w:sz="0" w:space="0" w:color="auto"/>
            <w:bottom w:val="none" w:sz="0" w:space="0" w:color="auto"/>
            <w:right w:val="none" w:sz="0" w:space="0" w:color="auto"/>
          </w:divBdr>
        </w:div>
        <w:div w:id="1719163440">
          <w:marLeft w:val="0"/>
          <w:marRight w:val="0"/>
          <w:marTop w:val="0"/>
          <w:marBottom w:val="0"/>
          <w:divBdr>
            <w:top w:val="none" w:sz="0" w:space="0" w:color="auto"/>
            <w:left w:val="none" w:sz="0" w:space="0" w:color="auto"/>
            <w:bottom w:val="none" w:sz="0" w:space="0" w:color="auto"/>
            <w:right w:val="none" w:sz="0" w:space="0" w:color="auto"/>
          </w:divBdr>
        </w:div>
      </w:divsChild>
    </w:div>
    <w:div w:id="1178302554">
      <w:bodyDiv w:val="1"/>
      <w:marLeft w:val="0"/>
      <w:marRight w:val="0"/>
      <w:marTop w:val="0"/>
      <w:marBottom w:val="0"/>
      <w:divBdr>
        <w:top w:val="none" w:sz="0" w:space="0" w:color="auto"/>
        <w:left w:val="none" w:sz="0" w:space="0" w:color="auto"/>
        <w:bottom w:val="none" w:sz="0" w:space="0" w:color="auto"/>
        <w:right w:val="none" w:sz="0" w:space="0" w:color="auto"/>
      </w:divBdr>
    </w:div>
    <w:div w:id="1188524398">
      <w:bodyDiv w:val="1"/>
      <w:marLeft w:val="0"/>
      <w:marRight w:val="0"/>
      <w:marTop w:val="0"/>
      <w:marBottom w:val="0"/>
      <w:divBdr>
        <w:top w:val="none" w:sz="0" w:space="0" w:color="auto"/>
        <w:left w:val="none" w:sz="0" w:space="0" w:color="auto"/>
        <w:bottom w:val="none" w:sz="0" w:space="0" w:color="auto"/>
        <w:right w:val="none" w:sz="0" w:space="0" w:color="auto"/>
      </w:divBdr>
      <w:divsChild>
        <w:div w:id="159974515">
          <w:marLeft w:val="0"/>
          <w:marRight w:val="0"/>
          <w:marTop w:val="0"/>
          <w:marBottom w:val="0"/>
          <w:divBdr>
            <w:top w:val="none" w:sz="0" w:space="0" w:color="auto"/>
            <w:left w:val="none" w:sz="0" w:space="0" w:color="auto"/>
            <w:bottom w:val="none" w:sz="0" w:space="0" w:color="auto"/>
            <w:right w:val="none" w:sz="0" w:space="0" w:color="auto"/>
          </w:divBdr>
        </w:div>
        <w:div w:id="1220215553">
          <w:marLeft w:val="0"/>
          <w:marRight w:val="0"/>
          <w:marTop w:val="0"/>
          <w:marBottom w:val="0"/>
          <w:divBdr>
            <w:top w:val="none" w:sz="0" w:space="0" w:color="auto"/>
            <w:left w:val="none" w:sz="0" w:space="0" w:color="auto"/>
            <w:bottom w:val="none" w:sz="0" w:space="0" w:color="auto"/>
            <w:right w:val="none" w:sz="0" w:space="0" w:color="auto"/>
          </w:divBdr>
        </w:div>
        <w:div w:id="1233588911">
          <w:marLeft w:val="0"/>
          <w:marRight w:val="0"/>
          <w:marTop w:val="0"/>
          <w:marBottom w:val="0"/>
          <w:divBdr>
            <w:top w:val="none" w:sz="0" w:space="0" w:color="auto"/>
            <w:left w:val="none" w:sz="0" w:space="0" w:color="auto"/>
            <w:bottom w:val="none" w:sz="0" w:space="0" w:color="auto"/>
            <w:right w:val="none" w:sz="0" w:space="0" w:color="auto"/>
          </w:divBdr>
        </w:div>
      </w:divsChild>
    </w:div>
    <w:div w:id="1832872012">
      <w:bodyDiv w:val="1"/>
      <w:marLeft w:val="0"/>
      <w:marRight w:val="0"/>
      <w:marTop w:val="0"/>
      <w:marBottom w:val="0"/>
      <w:divBdr>
        <w:top w:val="none" w:sz="0" w:space="0" w:color="auto"/>
        <w:left w:val="none" w:sz="0" w:space="0" w:color="auto"/>
        <w:bottom w:val="none" w:sz="0" w:space="0" w:color="auto"/>
        <w:right w:val="none" w:sz="0" w:space="0" w:color="auto"/>
      </w:divBdr>
    </w:div>
    <w:div w:id="20242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gintranet/ieListDocuments.aspx?CId=122&amp;MId=12064&amp;Ver=4"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2023/24 Budget Gap (£m)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2023/24 Budget Gap (£m)</c:v>
                </c:pt>
              </c:strCache>
            </c:strRef>
          </c:tx>
          <c:spPr>
            <a:ln w="28575" cap="rnd">
              <a:solidFill>
                <a:schemeClr val="accent1"/>
              </a:solidFill>
              <a:round/>
            </a:ln>
            <a:effectLst/>
          </c:spPr>
          <c:marker>
            <c:symbol val="none"/>
          </c:marker>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Quarter 1 (September 2022 Cabinet) </c:v>
                </c:pt>
                <c:pt idx="1">
                  <c:v>November Cabinet</c:v>
                </c:pt>
                <c:pt idx="2">
                  <c:v>Quarter 3 (January 2023 Cabinet) </c:v>
                </c:pt>
                <c:pt idx="3">
                  <c:v>Quarter 3 Update (February 2023 Cabinet)</c:v>
                </c:pt>
              </c:strCache>
            </c:strRef>
          </c:cat>
          <c:val>
            <c:numRef>
              <c:f>Sheet1!$B$3:$B$6</c:f>
              <c:numCache>
                <c:formatCode>"£"#,##0.000</c:formatCode>
                <c:ptCount val="4"/>
                <c:pt idx="0">
                  <c:v>87.054000000000002</c:v>
                </c:pt>
                <c:pt idx="1">
                  <c:v>19.951000000000001</c:v>
                </c:pt>
                <c:pt idx="2">
                  <c:v>7.7359999999999998</c:v>
                </c:pt>
                <c:pt idx="3">
                  <c:v>9.5009999999999994</c:v>
                </c:pt>
              </c:numCache>
            </c:numRef>
          </c:val>
          <c:smooth val="0"/>
          <c:extLst>
            <c:ext xmlns:c16="http://schemas.microsoft.com/office/drawing/2014/chart" uri="{C3380CC4-5D6E-409C-BE32-E72D297353CC}">
              <c16:uniqueId val="{00000000-5029-4998-A500-B7A854294B75}"/>
            </c:ext>
          </c:extLst>
        </c:ser>
        <c:dLbls>
          <c:dLblPos val="t"/>
          <c:showLegendKey val="0"/>
          <c:showVal val="1"/>
          <c:showCatName val="0"/>
          <c:showSerName val="0"/>
          <c:showPercent val="0"/>
          <c:showBubbleSize val="0"/>
        </c:dLbls>
        <c:smooth val="0"/>
        <c:axId val="2120697743"/>
        <c:axId val="2120721039"/>
      </c:lineChart>
      <c:catAx>
        <c:axId val="212069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721039"/>
        <c:crosses val="autoZero"/>
        <c:auto val="1"/>
        <c:lblAlgn val="ctr"/>
        <c:lblOffset val="100"/>
        <c:noMultiLvlLbl val="0"/>
      </c:catAx>
      <c:valAx>
        <c:axId val="21207210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697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0774BD86-DDA4-404E-82DD-D2A7B4EBC630}">
    <t:Anchor>
      <t:Comment id="632149428"/>
    </t:Anchor>
    <t:History>
      <t:Event id="{85E75C12-A958-4684-9D93-93D98344813B}" time="2022-02-09T10:08:13.932Z">
        <t:Attribution userId="S::carl.north@lancashire.gov.uk::74777f2d-033a-4858-8356-ff42b3491c7b" userProvider="AD" userName="North, Carl"/>
        <t:Anchor>
          <t:Comment id="127078941"/>
        </t:Anchor>
        <t:Create/>
      </t:Event>
      <t:Event id="{329E41D4-D64C-4409-A721-EAF1E42CFB49}" time="2022-02-09T10:08:13.932Z">
        <t:Attribution userId="S::carl.north@lancashire.gov.uk::74777f2d-033a-4858-8356-ff42b3491c7b" userProvider="AD" userName="North, Carl"/>
        <t:Anchor>
          <t:Comment id="127078941"/>
        </t:Anchor>
        <t:Assign userId="S::Margaret.Ashton-Gray@lancashire.gov.uk::76bc8c92-1931-477e-93f1-ae3e474fa801" userProvider="AD" userName="Ashton-Gray, Margaret"/>
      </t:Event>
      <t:Event id="{9D02F577-BF53-4EF8-BA55-307237836A50}" time="2022-02-09T10:08:13.932Z">
        <t:Attribution userId="S::carl.north@lancashire.gov.uk::74777f2d-033a-4858-8356-ff42b3491c7b" userProvider="AD" userName="North, Carl"/>
        <t:Anchor>
          <t:Comment id="127078941"/>
        </t:Anchor>
        <t:SetTitle title="@Ashton-Gray, Margaret I suppose I am asking were you got £42m from if I think the MTFS does not show that amount, what was the para aiming to sa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BF3C1-6C8F-4717-8DEA-B60E362CB4F9}">
  <ds:schemaRefs>
    <ds:schemaRef ds:uri="http://schemas.openxmlformats.org/officeDocument/2006/bibliography"/>
  </ds:schemaRefs>
</ds:datastoreItem>
</file>

<file path=customXml/itemProps2.xml><?xml version="1.0" encoding="utf-8"?>
<ds:datastoreItem xmlns:ds="http://schemas.openxmlformats.org/officeDocument/2006/customXml" ds:itemID="{C4774BA7-9EA9-4894-AF84-C6765A3360F0}">
  <ds:schemaRefs>
    <ds:schemaRef ds:uri="http://schemas.microsoft.com/sharepoint/v3/contenttype/forms"/>
  </ds:schemaRefs>
</ds:datastoreItem>
</file>

<file path=customXml/itemProps3.xml><?xml version="1.0" encoding="utf-8"?>
<ds:datastoreItem xmlns:ds="http://schemas.openxmlformats.org/officeDocument/2006/customXml" ds:itemID="{3725E758-857F-4814-88C0-EF723937D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92E03-9FA7-431A-BEC8-05E826E0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4088</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26666</CharactersWithSpaces>
  <SharedDoc>false</SharedDoc>
  <HLinks>
    <vt:vector size="18" baseType="variant">
      <vt:variant>
        <vt:i4>3014697</vt:i4>
      </vt:variant>
      <vt:variant>
        <vt:i4>0</vt:i4>
      </vt:variant>
      <vt:variant>
        <vt:i4>0</vt:i4>
      </vt:variant>
      <vt:variant>
        <vt:i4>5</vt:i4>
      </vt:variant>
      <vt:variant>
        <vt:lpwstr>http://mgintranet/ieListDocuments.aspx?CId=122&amp;MId=12064&amp;Ver=4</vt:lpwstr>
      </vt:variant>
      <vt:variant>
        <vt:lpwstr/>
      </vt:variant>
      <vt:variant>
        <vt:i4>7274577</vt:i4>
      </vt:variant>
      <vt:variant>
        <vt:i4>3</vt:i4>
      </vt:variant>
      <vt:variant>
        <vt:i4>0</vt:i4>
      </vt:variant>
      <vt:variant>
        <vt:i4>5</vt:i4>
      </vt:variant>
      <vt:variant>
        <vt:lpwstr>mailto:Kate.Lee@lancashire.gov.uk</vt:lpwstr>
      </vt:variant>
      <vt:variant>
        <vt:lpwstr/>
      </vt:variant>
      <vt:variant>
        <vt:i4>7274577</vt:i4>
      </vt:variant>
      <vt:variant>
        <vt:i4>0</vt:i4>
      </vt:variant>
      <vt:variant>
        <vt:i4>0</vt:i4>
      </vt:variant>
      <vt:variant>
        <vt:i4>5</vt:i4>
      </vt:variant>
      <vt:variant>
        <vt:lpwstr>mailto:Kate.Lee@lancashire.gov.uk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cp:lastModifiedBy>Gorman, Dave</cp:lastModifiedBy>
  <cp:revision>19</cp:revision>
  <cp:lastPrinted>2023-02-01T17:52:00Z</cp:lastPrinted>
  <dcterms:created xsi:type="dcterms:W3CDTF">2023-02-01T17:36:00Z</dcterms:created>
  <dcterms:modified xsi:type="dcterms:W3CDTF">2023-02-01T17:47:00Z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